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3CB" w:rsidRPr="002613CB" w:rsidRDefault="002613CB" w:rsidP="002613CB">
      <w:pPr>
        <w:jc w:val="center"/>
        <w:rPr>
          <w:rFonts w:eastAsia="Calibri"/>
          <w:b/>
          <w:sz w:val="28"/>
          <w:szCs w:val="28"/>
          <w:u w:val="single"/>
          <w:lang w:val="en-US"/>
        </w:rPr>
      </w:pPr>
      <w:bookmarkStart w:id="0" w:name="_GoBack"/>
      <w:bookmarkEnd w:id="0"/>
      <w:r w:rsidRPr="002613CB">
        <w:rPr>
          <w:rFonts w:eastAsia="Calibri"/>
          <w:b/>
          <w:sz w:val="28"/>
          <w:szCs w:val="28"/>
          <w:u w:val="single"/>
          <w:lang w:val="en-US"/>
        </w:rPr>
        <w:t>Bogor Goals- APEC</w:t>
      </w:r>
    </w:p>
    <w:p w:rsidR="002613CB" w:rsidRDefault="002613CB" w:rsidP="002613CB">
      <w:pPr>
        <w:jc w:val="center"/>
        <w:rPr>
          <w:rFonts w:eastAsia="Calibri"/>
          <w:b/>
          <w:sz w:val="28"/>
          <w:szCs w:val="28"/>
          <w:lang w:val="en-US"/>
        </w:rPr>
      </w:pPr>
      <w:r w:rsidRPr="002613CB">
        <w:rPr>
          <w:rFonts w:eastAsia="Calibri"/>
          <w:b/>
          <w:sz w:val="28"/>
          <w:szCs w:val="28"/>
          <w:lang w:val="en-US"/>
        </w:rPr>
        <w:t xml:space="preserve">Energy </w:t>
      </w:r>
    </w:p>
    <w:p w:rsidR="00EB0EFC" w:rsidRDefault="00EB0EFC" w:rsidP="002613CB">
      <w:pPr>
        <w:jc w:val="center"/>
        <w:rPr>
          <w:rFonts w:eastAsia="Calibri"/>
          <w:b/>
          <w:sz w:val="28"/>
          <w:szCs w:val="28"/>
          <w:lang w:val="en-US"/>
        </w:rPr>
      </w:pPr>
    </w:p>
    <w:tbl>
      <w:tblPr>
        <w:tblpPr w:leftFromText="141" w:rightFromText="141" w:vertAnchor="text" w:horzAnchor="margin" w:tblpXSpec="center" w:tblpY="254"/>
        <w:tblW w:w="5207" w:type="pct"/>
        <w:tblCellMar>
          <w:left w:w="0" w:type="dxa"/>
          <w:right w:w="0" w:type="dxa"/>
        </w:tblCellMar>
        <w:tblLook w:val="04A0" w:firstRow="1" w:lastRow="0" w:firstColumn="1" w:lastColumn="0" w:noHBand="0" w:noVBand="1"/>
      </w:tblPr>
      <w:tblGrid>
        <w:gridCol w:w="2763"/>
        <w:gridCol w:w="6605"/>
        <w:gridCol w:w="4745"/>
      </w:tblGrid>
      <w:tr w:rsidR="00DD431D" w:rsidRPr="00EB0EFC" w:rsidTr="00DD431D">
        <w:tc>
          <w:tcPr>
            <w:tcW w:w="9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D431D" w:rsidRDefault="00DD431D" w:rsidP="002542D2">
            <w:pPr>
              <w:spacing w:line="252" w:lineRule="auto"/>
              <w:jc w:val="center"/>
              <w:rPr>
                <w:b/>
                <w:bCs/>
                <w:i/>
                <w:iCs/>
                <w:lang w:val="en-US"/>
              </w:rPr>
            </w:pPr>
            <w:r>
              <w:rPr>
                <w:b/>
                <w:bCs/>
                <w:color w:val="000000"/>
                <w:lang w:val="en-US"/>
              </w:rPr>
              <w:t>IAP Chapter ( and  sub Chapter and Section Heading, if any)</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D431D" w:rsidRDefault="00DD431D" w:rsidP="00DD431D">
            <w:pPr>
              <w:keepNext/>
              <w:spacing w:line="252" w:lineRule="auto"/>
              <w:jc w:val="center"/>
              <w:rPr>
                <w:sz w:val="24"/>
                <w:szCs w:val="24"/>
                <w:lang w:val="en-AU"/>
              </w:rPr>
            </w:pPr>
            <w:r>
              <w:rPr>
                <w:b/>
                <w:bCs/>
                <w:color w:val="000000"/>
                <w:lang w:val="en-US"/>
              </w:rPr>
              <w:t>Improvements made up to 2015 IAP</w:t>
            </w:r>
          </w:p>
        </w:tc>
        <w:tc>
          <w:tcPr>
            <w:tcW w:w="168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D431D" w:rsidRDefault="00DD431D" w:rsidP="002542D2">
            <w:pPr>
              <w:spacing w:line="252" w:lineRule="auto"/>
              <w:jc w:val="center"/>
              <w:rPr>
                <w:b/>
                <w:bCs/>
                <w:sz w:val="24"/>
                <w:szCs w:val="24"/>
                <w:lang w:val="en-US"/>
              </w:rPr>
            </w:pPr>
            <w:r>
              <w:rPr>
                <w:b/>
                <w:bCs/>
                <w:color w:val="000000"/>
                <w:lang w:val="en-US"/>
              </w:rPr>
              <w:t>Further Improvements Planned</w:t>
            </w:r>
          </w:p>
        </w:tc>
      </w:tr>
      <w:tr w:rsidR="00DD431D" w:rsidRPr="003651F1" w:rsidTr="00DD431D">
        <w:tc>
          <w:tcPr>
            <w:tcW w:w="9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D431D" w:rsidRDefault="00DD431D" w:rsidP="00DD431D">
            <w:pPr>
              <w:spacing w:line="252" w:lineRule="auto"/>
              <w:rPr>
                <w:b/>
                <w:bCs/>
                <w:i/>
                <w:iCs/>
                <w:lang w:val="en-US"/>
              </w:rPr>
            </w:pPr>
          </w:p>
          <w:p w:rsidR="00DD431D" w:rsidRDefault="00DD431D" w:rsidP="00DD431D">
            <w:pPr>
              <w:spacing w:line="252" w:lineRule="auto"/>
              <w:rPr>
                <w:i/>
                <w:iCs/>
                <w:color w:val="808080"/>
              </w:rPr>
            </w:pPr>
            <w:r>
              <w:rPr>
                <w:b/>
                <w:bCs/>
                <w:i/>
                <w:iCs/>
                <w:lang w:val="en-US"/>
              </w:rPr>
              <w:t>(l) Energy Services</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D431D" w:rsidRDefault="00DD431D" w:rsidP="00DD431D">
            <w:pPr>
              <w:keepNext/>
              <w:spacing w:line="252" w:lineRule="auto"/>
              <w:jc w:val="both"/>
              <w:rPr>
                <w:color w:val="1F497D"/>
                <w:sz w:val="24"/>
                <w:szCs w:val="24"/>
                <w:lang w:val="en-AU"/>
              </w:rPr>
            </w:pPr>
            <w:r>
              <w:rPr>
                <w:sz w:val="24"/>
                <w:szCs w:val="24"/>
                <w:lang w:val="en-AU"/>
              </w:rPr>
              <w:t xml:space="preserve">The Energy Regulatory Commission (Comisión Reguladora de Energía, CRE for its acronym in Spanish) is the federal government´s body in charge of issuing the regulatory instruments for the supply and sales to end users of public service electricity; generation permits; electricity supply delivery permits to provide service for regulated consumers and non-regulated qualified users and last resource supply delivery permits; imports and exports of electricity by private enterprises; the purchase of electricity for public service; the transmission and distribution of electricity for public service; first hand sale of natural gas, LPG, fuel oil and petrochemicals; pipeline transportation and distribution of natural gas, refined products,  petrochemicals and biofuels, as well as </w:t>
            </w:r>
            <w:r w:rsidRPr="00013DCB">
              <w:rPr>
                <w:bCs/>
                <w:sz w:val="24"/>
                <w:szCs w:val="24"/>
                <w:lang w:val="en-AU"/>
              </w:rPr>
              <w:t>the storage of hydrocarbons and petroleum products (defined in the Law); the storage linked to petrochemicals pipelines and the stora</w:t>
            </w:r>
            <w:r w:rsidR="00013DCB" w:rsidRPr="00013DCB">
              <w:rPr>
                <w:bCs/>
                <w:sz w:val="24"/>
                <w:szCs w:val="24"/>
                <w:lang w:val="en-AU"/>
              </w:rPr>
              <w:t>ge of biofuels.</w:t>
            </w:r>
          </w:p>
          <w:p w:rsidR="00DD431D" w:rsidRDefault="00DD431D" w:rsidP="00DD431D">
            <w:pPr>
              <w:spacing w:line="252" w:lineRule="auto"/>
              <w:rPr>
                <w:sz w:val="24"/>
                <w:szCs w:val="24"/>
                <w:lang w:val="en-US"/>
              </w:rPr>
            </w:pPr>
          </w:p>
          <w:p w:rsidR="00DD431D" w:rsidRDefault="00DD431D" w:rsidP="00DD431D">
            <w:pPr>
              <w:spacing w:line="252" w:lineRule="auto"/>
              <w:jc w:val="both"/>
              <w:rPr>
                <w:sz w:val="24"/>
                <w:szCs w:val="24"/>
                <w:lang w:val="en-AU"/>
              </w:rPr>
            </w:pPr>
            <w:r>
              <w:rPr>
                <w:sz w:val="24"/>
                <w:szCs w:val="24"/>
                <w:lang w:val="en-AU"/>
              </w:rPr>
              <w:t xml:space="preserve">Within 2013 Constitutional Energy Reform, CRE became a coordinated energy regulatory body in the executive branch with legal personality, as well as with </w:t>
            </w:r>
            <w:r w:rsidRPr="00013DCB">
              <w:rPr>
                <w:sz w:val="24"/>
                <w:szCs w:val="24"/>
                <w:lang w:val="en-AU"/>
              </w:rPr>
              <w:t xml:space="preserve">technical and managerial autonomy. This under the Law of the </w:t>
            </w:r>
            <w:r w:rsidRPr="00013DCB">
              <w:rPr>
                <w:bCs/>
                <w:sz w:val="24"/>
                <w:szCs w:val="24"/>
                <w:lang w:val="en-AU"/>
              </w:rPr>
              <w:t>Coordinated Regulatory Organisms</w:t>
            </w:r>
            <w:r w:rsidRPr="00013DCB">
              <w:rPr>
                <w:sz w:val="24"/>
                <w:szCs w:val="24"/>
                <w:lang w:val="en-AU"/>
              </w:rPr>
              <w:t xml:space="preserve"> for Energy Matters (August 11th of 2014) that distinguishes the competency of the National Hydrocarbon Commission (CNH)- for the Upstream sector</w:t>
            </w:r>
            <w:r>
              <w:rPr>
                <w:sz w:val="24"/>
                <w:szCs w:val="24"/>
                <w:lang w:val="en-AU"/>
              </w:rPr>
              <w:t xml:space="preserve">- from CRE’s competency- for the Midstream and Downstream sectors-.  </w:t>
            </w:r>
          </w:p>
          <w:p w:rsidR="00DD431D" w:rsidRDefault="00DD431D" w:rsidP="00DD431D">
            <w:pPr>
              <w:spacing w:line="252" w:lineRule="auto"/>
              <w:jc w:val="both"/>
              <w:rPr>
                <w:sz w:val="24"/>
                <w:szCs w:val="24"/>
                <w:lang w:val="en-AU"/>
              </w:rPr>
            </w:pPr>
          </w:p>
          <w:p w:rsidR="00DD431D" w:rsidRDefault="00DD431D" w:rsidP="00DD431D">
            <w:pPr>
              <w:spacing w:line="252" w:lineRule="auto"/>
              <w:jc w:val="both"/>
              <w:rPr>
                <w:sz w:val="24"/>
                <w:szCs w:val="24"/>
                <w:lang w:val="en-AU"/>
              </w:rPr>
            </w:pPr>
            <w:r>
              <w:rPr>
                <w:sz w:val="24"/>
                <w:szCs w:val="24"/>
                <w:lang w:val="en-AU"/>
              </w:rPr>
              <w:t xml:space="preserve">In this regard, part of CRE’s income is now provided by fees established by law, collected for its services, which are mainly generated by the issuance and administration of permits. On the long term, these resources will fully fund the budget required to fulfill CRE’s duties. </w:t>
            </w:r>
          </w:p>
          <w:p w:rsidR="00DD431D" w:rsidRDefault="00DD431D" w:rsidP="00DD431D">
            <w:pPr>
              <w:spacing w:line="252" w:lineRule="auto"/>
              <w:jc w:val="both"/>
              <w:rPr>
                <w:sz w:val="24"/>
                <w:szCs w:val="24"/>
                <w:lang w:val="en-AU"/>
              </w:rPr>
            </w:pPr>
          </w:p>
          <w:p w:rsidR="00DD431D" w:rsidRDefault="00DD431D" w:rsidP="00DD431D">
            <w:pPr>
              <w:spacing w:line="252" w:lineRule="auto"/>
              <w:jc w:val="both"/>
              <w:rPr>
                <w:b/>
                <w:bCs/>
                <w:sz w:val="24"/>
                <w:szCs w:val="24"/>
                <w:u w:val="single"/>
                <w:lang w:val="en-AU"/>
              </w:rPr>
            </w:pPr>
            <w:r>
              <w:rPr>
                <w:b/>
                <w:bCs/>
                <w:sz w:val="24"/>
                <w:szCs w:val="24"/>
                <w:u w:val="single"/>
                <w:lang w:val="en-AU"/>
              </w:rPr>
              <w:t>Energy Reform and Electricity</w:t>
            </w:r>
          </w:p>
          <w:p w:rsidR="00DD431D" w:rsidRDefault="00DD431D" w:rsidP="00DD431D">
            <w:pPr>
              <w:autoSpaceDE w:val="0"/>
              <w:autoSpaceDN w:val="0"/>
              <w:spacing w:line="252" w:lineRule="auto"/>
              <w:jc w:val="both"/>
              <w:rPr>
                <w:sz w:val="24"/>
                <w:szCs w:val="24"/>
                <w:lang w:val="en-AU"/>
              </w:rPr>
            </w:pPr>
          </w:p>
          <w:p w:rsidR="00DD431D" w:rsidRDefault="00DD431D" w:rsidP="00DD431D">
            <w:pPr>
              <w:autoSpaceDE w:val="0"/>
              <w:autoSpaceDN w:val="0"/>
              <w:spacing w:line="252" w:lineRule="auto"/>
              <w:jc w:val="both"/>
              <w:rPr>
                <w:sz w:val="24"/>
                <w:szCs w:val="24"/>
                <w:lang w:val="en-AU"/>
              </w:rPr>
            </w:pPr>
            <w:r>
              <w:rPr>
                <w:sz w:val="24"/>
                <w:szCs w:val="24"/>
                <w:lang w:val="en-AU"/>
              </w:rPr>
              <w:t>On August 2014 the Electricity Industry Law was launched, mandating CRE to issue and enforce the regulation required to guarantee the efficiency, quality, reliability, continuity, safety and sustainability of the National Electrical System; to protect the interests of the public, regarding quality, reliability, continuity and safety of electricity provision; request other authorities additional safety measures; and to facilitate information transparency, along with SENER, of the wholesale electricity market considering the protection of public interest through: competition, consumer protection and efficiency.</w:t>
            </w:r>
          </w:p>
          <w:p w:rsidR="00DD431D" w:rsidRDefault="00DD431D" w:rsidP="00DD431D">
            <w:pPr>
              <w:autoSpaceDE w:val="0"/>
              <w:autoSpaceDN w:val="0"/>
              <w:spacing w:line="252" w:lineRule="auto"/>
              <w:jc w:val="both"/>
              <w:rPr>
                <w:sz w:val="24"/>
                <w:szCs w:val="24"/>
                <w:lang w:val="en-AU"/>
              </w:rPr>
            </w:pPr>
          </w:p>
          <w:p w:rsidR="00DD431D" w:rsidRDefault="00DD431D" w:rsidP="00DD431D">
            <w:pPr>
              <w:spacing w:line="252" w:lineRule="auto"/>
              <w:jc w:val="both"/>
              <w:rPr>
                <w:sz w:val="24"/>
                <w:szCs w:val="24"/>
                <w:lang w:val="en-AU"/>
              </w:rPr>
            </w:pPr>
            <w:r>
              <w:rPr>
                <w:sz w:val="24"/>
                <w:szCs w:val="24"/>
                <w:lang w:val="en-AU"/>
              </w:rPr>
              <w:t xml:space="preserve">Electric Power Plants equal or above 0.5 MW and Electric Power Plants represented by a Generator in the Wholesale Market, require a Generation Permit granted by CRE. Electric Power Plants used for self-use in emergencies or interruptions of Power Supply Service do not need a permit. Under the previous legal framework, Permit holders had to report on a quarter basis their power generation and </w:t>
            </w:r>
            <w:r>
              <w:rPr>
                <w:sz w:val="24"/>
                <w:szCs w:val="24"/>
                <w:lang w:val="en-AU"/>
              </w:rPr>
              <w:lastRenderedPageBreak/>
              <w:t>primary energy consumption. Under the new Law, Permit holders have to do it monthly.</w:t>
            </w:r>
          </w:p>
          <w:p w:rsidR="00DD431D" w:rsidRDefault="00DD431D" w:rsidP="00DD431D">
            <w:pPr>
              <w:spacing w:line="252" w:lineRule="auto"/>
              <w:jc w:val="both"/>
              <w:rPr>
                <w:sz w:val="24"/>
                <w:szCs w:val="24"/>
                <w:lang w:val="en-AU"/>
              </w:rPr>
            </w:pPr>
          </w:p>
          <w:p w:rsidR="00DD431D" w:rsidRDefault="00DD431D" w:rsidP="00DD431D">
            <w:pPr>
              <w:spacing w:line="252" w:lineRule="auto"/>
              <w:jc w:val="both"/>
              <w:rPr>
                <w:sz w:val="24"/>
                <w:szCs w:val="24"/>
                <w:lang w:val="en-AU"/>
              </w:rPr>
            </w:pPr>
            <w:r>
              <w:rPr>
                <w:sz w:val="24"/>
                <w:szCs w:val="24"/>
                <w:lang w:val="en-AU"/>
              </w:rPr>
              <w:t>Up to 2015, CRE issued 1302 electricity permits which amount 99,789 MW</w:t>
            </w:r>
            <w:r>
              <w:rPr>
                <w:color w:val="000000"/>
                <w:sz w:val="24"/>
                <w:szCs w:val="24"/>
                <w:lang w:val="en-AU"/>
              </w:rPr>
              <w:t xml:space="preserve"> and 1 supply permit for providing service to non-regulated users. </w:t>
            </w:r>
            <w:r>
              <w:rPr>
                <w:sz w:val="24"/>
                <w:szCs w:val="24"/>
                <w:lang w:val="en-AU"/>
              </w:rPr>
              <w:t xml:space="preserve">The following permits were granted before the release of the Electricity Industry Law of 2014:  32 for IPP´s with a 16,440.1 MW capacity, 574 for self-supply for a total of 18,606.7 MW, 134 for cogeneration for 7,946.8 MW, 7 for export for 1,849.8 MW, 278 for small production with 6,853.1 MW, 36 for self-use that amount to 512.5 MW and 47 for import totalling 870.7 MW. In addition, 194 electricity generation permits were granted for 46, 709.4 MW as a result of the Electricity Industry Law. </w:t>
            </w:r>
            <w:r>
              <w:rPr>
                <w:color w:val="000000"/>
                <w:sz w:val="24"/>
                <w:szCs w:val="24"/>
                <w:lang w:val="en-AU"/>
              </w:rPr>
              <w:t>As for electricity supply, during the same period of time, 2 more supply permit applications for providing service to non-regulated users were received</w:t>
            </w:r>
            <w:r>
              <w:rPr>
                <w:sz w:val="24"/>
                <w:szCs w:val="24"/>
                <w:lang w:val="en-AU"/>
              </w:rPr>
              <w:t>.</w:t>
            </w:r>
          </w:p>
          <w:p w:rsidR="00DD431D" w:rsidRDefault="00DD431D" w:rsidP="00DD431D">
            <w:pPr>
              <w:autoSpaceDE w:val="0"/>
              <w:autoSpaceDN w:val="0"/>
              <w:spacing w:line="252" w:lineRule="auto"/>
              <w:jc w:val="both"/>
              <w:rPr>
                <w:b/>
                <w:bCs/>
                <w:sz w:val="24"/>
                <w:szCs w:val="24"/>
                <w:lang w:val="en-AU"/>
              </w:rPr>
            </w:pPr>
          </w:p>
          <w:p w:rsidR="00DD431D" w:rsidRDefault="00DD431D" w:rsidP="00DD431D">
            <w:pPr>
              <w:spacing w:line="252" w:lineRule="auto"/>
              <w:jc w:val="both"/>
              <w:rPr>
                <w:sz w:val="24"/>
                <w:szCs w:val="24"/>
                <w:lang w:val="en-US"/>
              </w:rPr>
            </w:pPr>
            <w:r>
              <w:rPr>
                <w:sz w:val="24"/>
                <w:szCs w:val="24"/>
                <w:lang w:val="en-US"/>
              </w:rPr>
              <w:t xml:space="preserve">As of the reliability and expansion of the national grid, CRE finished the so-called Open Season for Wind Power in Oaxaca. A transmission capacity of 2,330 MW was installed. The Open Season for Tamaulipas (1,526.25 MW) is currently being analyzed whether it will be included in the Expansion Program of the National Electrical System or not. The Grid Code was submitted to the Federal Commission for Regulatory Improvement and received comments from third parties. CRE expects to publish the Grid Code during the first trimester of 2016. </w:t>
            </w:r>
          </w:p>
          <w:p w:rsidR="00DD431D" w:rsidRDefault="00DD431D" w:rsidP="00DD431D">
            <w:pPr>
              <w:spacing w:line="252" w:lineRule="auto"/>
              <w:jc w:val="both"/>
              <w:rPr>
                <w:sz w:val="24"/>
                <w:szCs w:val="24"/>
                <w:lang w:val="en-US"/>
              </w:rPr>
            </w:pPr>
          </w:p>
          <w:p w:rsidR="00DD431D" w:rsidRDefault="00DD431D" w:rsidP="00DD431D">
            <w:pPr>
              <w:spacing w:line="252" w:lineRule="auto"/>
              <w:jc w:val="both"/>
              <w:rPr>
                <w:sz w:val="24"/>
                <w:szCs w:val="24"/>
                <w:lang w:val="en-US"/>
              </w:rPr>
            </w:pPr>
            <w:r>
              <w:rPr>
                <w:sz w:val="24"/>
                <w:szCs w:val="24"/>
                <w:lang w:val="en-US"/>
              </w:rPr>
              <w:t>Regarding smart grids and power quality, CRE issued and published on July 9th, 2015 the Models for Temporary Contracts and Agreements of the following activities:</w:t>
            </w:r>
          </w:p>
          <w:p w:rsidR="00DD431D" w:rsidRDefault="00DD431D" w:rsidP="00DD431D">
            <w:pPr>
              <w:spacing w:line="252" w:lineRule="auto"/>
              <w:jc w:val="both"/>
              <w:rPr>
                <w:sz w:val="24"/>
                <w:szCs w:val="24"/>
                <w:lang w:val="en-US"/>
              </w:rPr>
            </w:pPr>
          </w:p>
          <w:p w:rsidR="00DD431D" w:rsidRDefault="00DD431D" w:rsidP="00DD431D">
            <w:pPr>
              <w:numPr>
                <w:ilvl w:val="0"/>
                <w:numId w:val="1"/>
              </w:numPr>
              <w:spacing w:line="252" w:lineRule="auto"/>
              <w:jc w:val="both"/>
              <w:rPr>
                <w:rFonts w:eastAsia="Times New Roman"/>
                <w:sz w:val="24"/>
                <w:szCs w:val="24"/>
                <w:lang w:val="en-US"/>
              </w:rPr>
            </w:pPr>
            <w:r>
              <w:rPr>
                <w:rFonts w:eastAsia="Times New Roman"/>
                <w:sz w:val="24"/>
                <w:szCs w:val="24"/>
                <w:lang w:val="en-US"/>
              </w:rPr>
              <w:t>Contract for Interconnection of Power Plants</w:t>
            </w:r>
          </w:p>
          <w:p w:rsidR="00DD431D" w:rsidRDefault="00DD431D" w:rsidP="00DD431D">
            <w:pPr>
              <w:numPr>
                <w:ilvl w:val="0"/>
                <w:numId w:val="1"/>
              </w:numPr>
              <w:spacing w:line="252" w:lineRule="auto"/>
              <w:jc w:val="both"/>
              <w:rPr>
                <w:rFonts w:eastAsia="Times New Roman"/>
                <w:sz w:val="24"/>
                <w:szCs w:val="24"/>
                <w:lang w:val="en-US"/>
              </w:rPr>
            </w:pPr>
            <w:r>
              <w:rPr>
                <w:rFonts w:eastAsia="Times New Roman"/>
                <w:sz w:val="24"/>
                <w:szCs w:val="24"/>
                <w:lang w:val="en-US"/>
              </w:rPr>
              <w:t>Contract for Trading Power Surplus</w:t>
            </w:r>
          </w:p>
          <w:p w:rsidR="00DD431D" w:rsidRDefault="00DD431D" w:rsidP="00DD431D">
            <w:pPr>
              <w:numPr>
                <w:ilvl w:val="0"/>
                <w:numId w:val="1"/>
              </w:numPr>
              <w:spacing w:line="252" w:lineRule="auto"/>
              <w:jc w:val="both"/>
              <w:rPr>
                <w:rFonts w:eastAsia="Times New Roman"/>
                <w:sz w:val="24"/>
                <w:szCs w:val="24"/>
                <w:lang w:val="en-US"/>
              </w:rPr>
            </w:pPr>
            <w:r>
              <w:rPr>
                <w:rFonts w:eastAsia="Times New Roman"/>
                <w:sz w:val="24"/>
                <w:szCs w:val="24"/>
                <w:lang w:val="en-US"/>
              </w:rPr>
              <w:t>Agreement for Transmission Service</w:t>
            </w:r>
          </w:p>
          <w:p w:rsidR="00DD431D" w:rsidRDefault="00DD431D" w:rsidP="00DD431D">
            <w:pPr>
              <w:numPr>
                <w:ilvl w:val="0"/>
                <w:numId w:val="1"/>
              </w:numPr>
              <w:spacing w:line="252" w:lineRule="auto"/>
              <w:jc w:val="both"/>
              <w:rPr>
                <w:rFonts w:eastAsia="Times New Roman"/>
                <w:sz w:val="24"/>
                <w:szCs w:val="24"/>
                <w:lang w:val="en-US"/>
              </w:rPr>
            </w:pPr>
            <w:r>
              <w:rPr>
                <w:rFonts w:eastAsia="Times New Roman"/>
                <w:sz w:val="24"/>
                <w:szCs w:val="24"/>
                <w:lang w:val="en-US"/>
              </w:rPr>
              <w:t>Contract for Backup</w:t>
            </w:r>
          </w:p>
          <w:p w:rsidR="00DD431D" w:rsidRDefault="00DD431D" w:rsidP="00DD431D">
            <w:pPr>
              <w:autoSpaceDE w:val="0"/>
              <w:autoSpaceDN w:val="0"/>
              <w:spacing w:line="252" w:lineRule="auto"/>
              <w:jc w:val="both"/>
              <w:rPr>
                <w:b/>
                <w:bCs/>
                <w:sz w:val="24"/>
                <w:szCs w:val="24"/>
                <w:lang w:val="en-AU"/>
              </w:rPr>
            </w:pPr>
          </w:p>
          <w:p w:rsidR="00DD431D" w:rsidRDefault="00DD431D" w:rsidP="00DD431D">
            <w:pPr>
              <w:autoSpaceDE w:val="0"/>
              <w:autoSpaceDN w:val="0"/>
              <w:spacing w:line="252" w:lineRule="auto"/>
              <w:jc w:val="both"/>
              <w:rPr>
                <w:b/>
                <w:bCs/>
                <w:sz w:val="24"/>
                <w:szCs w:val="24"/>
                <w:lang w:val="en-AU"/>
              </w:rPr>
            </w:pPr>
          </w:p>
          <w:p w:rsidR="00DD431D" w:rsidRDefault="00DD431D" w:rsidP="00DD431D">
            <w:pPr>
              <w:autoSpaceDE w:val="0"/>
              <w:autoSpaceDN w:val="0"/>
              <w:spacing w:line="252" w:lineRule="auto"/>
              <w:jc w:val="both"/>
              <w:rPr>
                <w:b/>
                <w:bCs/>
                <w:sz w:val="24"/>
                <w:szCs w:val="24"/>
                <w:lang w:val="en-AU"/>
              </w:rPr>
            </w:pPr>
            <w:r>
              <w:rPr>
                <w:b/>
                <w:bCs/>
                <w:sz w:val="24"/>
                <w:szCs w:val="24"/>
                <w:lang w:val="en-AU"/>
              </w:rPr>
              <w:t>Clean Energy</w:t>
            </w:r>
          </w:p>
          <w:p w:rsidR="00DD431D" w:rsidRDefault="00DD431D" w:rsidP="00DD431D">
            <w:pPr>
              <w:autoSpaceDE w:val="0"/>
              <w:autoSpaceDN w:val="0"/>
              <w:spacing w:line="252" w:lineRule="auto"/>
              <w:jc w:val="both"/>
              <w:rPr>
                <w:sz w:val="24"/>
                <w:szCs w:val="24"/>
                <w:lang w:val="en-AU"/>
              </w:rPr>
            </w:pPr>
          </w:p>
          <w:p w:rsidR="00DD431D" w:rsidRDefault="00DD431D" w:rsidP="00DD431D">
            <w:pPr>
              <w:autoSpaceDE w:val="0"/>
              <w:autoSpaceDN w:val="0"/>
              <w:spacing w:line="252" w:lineRule="auto"/>
              <w:jc w:val="both"/>
              <w:rPr>
                <w:sz w:val="24"/>
                <w:szCs w:val="24"/>
                <w:lang w:val="en-US"/>
              </w:rPr>
            </w:pPr>
            <w:r>
              <w:rPr>
                <w:sz w:val="24"/>
                <w:szCs w:val="24"/>
                <w:lang w:val="en-AU"/>
              </w:rPr>
              <w:t xml:space="preserve">As mentioned above, within the Energy Reform, CRE it is now responsible for regulating and granting permits for electricity generation, delivery supply to regulated and non-regulated consumers and last resource electricity delivery supply providers, as well as for the wheeling tariffs for transmission and distribution. Additionally, the Reform promotes the use of Clean Energy. </w:t>
            </w:r>
            <w:r>
              <w:rPr>
                <w:sz w:val="24"/>
                <w:szCs w:val="24"/>
                <w:lang w:val="en-US"/>
              </w:rPr>
              <w:t xml:space="preserve">The latter is promoted in Mexico through the Clean Energy Certificates (CEL), which are granted to Clean Energy Generators. Obligated Parties must purchase CEL to comply with the Obligations established yearly by SENER. The Obligation is defined as a percentage of the yearly electricity consumption and will increase each year. Although the CEL mechanism will start operating in 2018, CRE is empowered to grant the CEL; issue the regulation to validate the ownership of the CEL; and verify the compliance of the Clean Energy Obligations. </w:t>
            </w:r>
          </w:p>
          <w:p w:rsidR="00DD431D" w:rsidRDefault="00DD431D" w:rsidP="00DD431D">
            <w:pPr>
              <w:autoSpaceDE w:val="0"/>
              <w:autoSpaceDN w:val="0"/>
              <w:spacing w:line="252" w:lineRule="auto"/>
              <w:jc w:val="both"/>
              <w:rPr>
                <w:sz w:val="24"/>
                <w:szCs w:val="24"/>
                <w:lang w:val="en-US"/>
              </w:rPr>
            </w:pPr>
          </w:p>
          <w:p w:rsidR="00DD431D" w:rsidRDefault="00DD431D" w:rsidP="00DD431D">
            <w:pPr>
              <w:autoSpaceDE w:val="0"/>
              <w:autoSpaceDN w:val="0"/>
              <w:spacing w:line="252" w:lineRule="auto"/>
              <w:jc w:val="both"/>
              <w:rPr>
                <w:sz w:val="24"/>
                <w:szCs w:val="24"/>
                <w:lang w:val="en-AU"/>
              </w:rPr>
            </w:pPr>
            <w:r>
              <w:rPr>
                <w:sz w:val="24"/>
                <w:szCs w:val="24"/>
                <w:lang w:val="en-US"/>
              </w:rPr>
              <w:t xml:space="preserve">Regarding clean energy, CRE drafted two resolutions in 2015. The first one is the Resolution of the General Administrative Guidelines for the Operation of the System for CEL Management and Clean Energy Obligations Compliance. This Resolution establishes the guidelines through which CEL will be issued and granted to the Clean Energy Generators and the compliance mechanism for the Obligated </w:t>
            </w:r>
            <w:r>
              <w:rPr>
                <w:sz w:val="24"/>
                <w:szCs w:val="24"/>
                <w:lang w:val="en-US"/>
              </w:rPr>
              <w:lastRenderedPageBreak/>
              <w:t xml:space="preserve">Parties. It also sets the path for the design and implementation of the electronic platform that will operate such a System and through which all stakeholders will be able to perform their corresponding activities and/or comply with their obligations. The second resolution is the Resolution of the General Administrative Guidelines that establishes the Criteria for Imposing the Corresponding Sanctions derived from the Non-compliance of Clean Energy Certificates. This Resolution explains the procedure for imposing a sanction to an Obligated Party in case of non-compliance, and includes a table for imposing the sanction, depending on the level of non-compliance and if the Obligated Party chose to defer part of its Obligations or not. Both draft Resolutions were sent to the Federal Commission for Regulatory Improvement and commented by third parties interested in the matter. </w:t>
            </w:r>
          </w:p>
          <w:p w:rsidR="00DD431D" w:rsidRDefault="00DD431D" w:rsidP="00DD431D">
            <w:pPr>
              <w:spacing w:line="252" w:lineRule="auto"/>
              <w:jc w:val="both"/>
              <w:rPr>
                <w:sz w:val="24"/>
                <w:szCs w:val="24"/>
                <w:lang w:val="en-AU"/>
              </w:rPr>
            </w:pPr>
          </w:p>
          <w:p w:rsidR="00DD431D" w:rsidRDefault="00DD431D" w:rsidP="00DD431D">
            <w:pPr>
              <w:spacing w:line="252" w:lineRule="auto"/>
              <w:jc w:val="both"/>
              <w:rPr>
                <w:b/>
                <w:bCs/>
                <w:sz w:val="24"/>
                <w:szCs w:val="24"/>
                <w:u w:val="single"/>
                <w:lang w:val="en-AU"/>
              </w:rPr>
            </w:pPr>
            <w:r>
              <w:rPr>
                <w:b/>
                <w:bCs/>
                <w:sz w:val="24"/>
                <w:szCs w:val="24"/>
                <w:u w:val="single"/>
                <w:lang w:val="en-AU"/>
              </w:rPr>
              <w:t>Energy Reform and Hydrocarbons</w:t>
            </w:r>
          </w:p>
          <w:p w:rsidR="00DD431D" w:rsidRDefault="00DD431D" w:rsidP="00DD431D">
            <w:pPr>
              <w:spacing w:line="252" w:lineRule="auto"/>
              <w:jc w:val="both"/>
              <w:rPr>
                <w:sz w:val="24"/>
                <w:szCs w:val="24"/>
                <w:lang w:val="en-AU"/>
              </w:rPr>
            </w:pPr>
          </w:p>
          <w:p w:rsidR="00DD431D" w:rsidRDefault="00DD431D" w:rsidP="00DD431D">
            <w:pPr>
              <w:autoSpaceDE w:val="0"/>
              <w:autoSpaceDN w:val="0"/>
              <w:spacing w:line="252" w:lineRule="auto"/>
              <w:jc w:val="both"/>
              <w:rPr>
                <w:sz w:val="24"/>
                <w:szCs w:val="24"/>
                <w:lang w:val="en-AU"/>
              </w:rPr>
            </w:pPr>
            <w:r>
              <w:rPr>
                <w:sz w:val="24"/>
                <w:szCs w:val="24"/>
                <w:lang w:val="en-AU"/>
              </w:rPr>
              <w:t>The Constitutional Energy Reform establishes that CRE is now in charge of hydrocarbons regulation and the issuance of permits for storage, transportation, distribution, compression, liquefaction, decompression, regasification, trading and sale of all hydrocarbons, as well as the management of Integrated Infrastructure Systems.</w:t>
            </w:r>
          </w:p>
          <w:p w:rsidR="00DD431D" w:rsidRDefault="00DD431D" w:rsidP="00DD431D">
            <w:pPr>
              <w:spacing w:line="252" w:lineRule="auto"/>
              <w:jc w:val="both"/>
              <w:rPr>
                <w:sz w:val="24"/>
                <w:szCs w:val="24"/>
                <w:lang w:val="en-AU"/>
              </w:rPr>
            </w:pPr>
          </w:p>
          <w:p w:rsidR="00DD431D" w:rsidRDefault="00DD431D" w:rsidP="00DD431D">
            <w:pPr>
              <w:spacing w:line="252" w:lineRule="auto"/>
              <w:jc w:val="both"/>
              <w:rPr>
                <w:sz w:val="24"/>
                <w:szCs w:val="24"/>
                <w:lang w:val="en-AU"/>
              </w:rPr>
            </w:pPr>
            <w:r>
              <w:rPr>
                <w:sz w:val="24"/>
                <w:szCs w:val="24"/>
                <w:lang w:val="en-AU"/>
              </w:rPr>
              <w:t xml:space="preserve">As a result of the Energy Reform and the Hydrocarbons Law mentioned above, private companies will be allowed to transport, store and distribute refining and petrochemicals products. This will reduce entry barriers and promote competition in the energy sector. </w:t>
            </w:r>
          </w:p>
          <w:p w:rsidR="0077314C" w:rsidRDefault="0077314C" w:rsidP="00DD431D">
            <w:pPr>
              <w:spacing w:line="252" w:lineRule="auto"/>
              <w:jc w:val="both"/>
              <w:rPr>
                <w:sz w:val="24"/>
                <w:szCs w:val="24"/>
                <w:lang w:val="en-AU"/>
              </w:rPr>
            </w:pPr>
          </w:p>
          <w:p w:rsidR="0077314C" w:rsidRPr="0077314C" w:rsidRDefault="0077314C" w:rsidP="0077314C">
            <w:pPr>
              <w:spacing w:line="252" w:lineRule="auto"/>
              <w:jc w:val="both"/>
              <w:rPr>
                <w:sz w:val="24"/>
                <w:szCs w:val="24"/>
                <w:lang w:val="en-US"/>
              </w:rPr>
            </w:pPr>
            <w:r w:rsidRPr="0077314C">
              <w:rPr>
                <w:sz w:val="24"/>
                <w:szCs w:val="24"/>
                <w:lang w:val="en-US"/>
              </w:rPr>
              <w:t xml:space="preserve">With the aid of the recent energy reform, Mexico’s declining oil production is likely to improve in the medium and long terms, in step with the pace of private capital inflows are and their effects in developing more extensively the abundant oil and gas resources. In particular, it is expected that private companies will undertake the more costly and technologically complex exploration and production of frontier and unconventional hydrocarbon resources such as those in deep water and shales. </w:t>
            </w:r>
          </w:p>
          <w:p w:rsidR="0077314C" w:rsidRPr="0077314C" w:rsidRDefault="0077314C" w:rsidP="0077314C">
            <w:pPr>
              <w:spacing w:line="252" w:lineRule="auto"/>
              <w:jc w:val="both"/>
              <w:rPr>
                <w:sz w:val="24"/>
                <w:szCs w:val="24"/>
                <w:lang w:val="en-US"/>
              </w:rPr>
            </w:pPr>
            <w:r w:rsidRPr="0077314C">
              <w:rPr>
                <w:sz w:val="24"/>
                <w:szCs w:val="24"/>
                <w:lang w:val="en-US"/>
              </w:rPr>
              <w:t>The reform also included a ’Round Zero’ mechanism whereby Pemex requested to retain certain strategic oil and gas assets to be able to keep a competitive advantage in the face of the increased competition. The Round Zero resulted in Pemex keeping 83% of Mexico’s proved and probable reserves and 21% of prospective oil and gas resources. A subsequent ‘Round One’ followed Round Zero to tender the resources available to private operators.</w:t>
            </w:r>
          </w:p>
          <w:p w:rsidR="0077314C" w:rsidRPr="0077314C" w:rsidRDefault="0077314C" w:rsidP="0077314C">
            <w:pPr>
              <w:spacing w:line="252" w:lineRule="auto"/>
              <w:jc w:val="both"/>
              <w:rPr>
                <w:sz w:val="24"/>
                <w:szCs w:val="24"/>
                <w:lang w:val="en-US"/>
              </w:rPr>
            </w:pPr>
            <w:r w:rsidRPr="0077314C">
              <w:rPr>
                <w:sz w:val="24"/>
                <w:szCs w:val="24"/>
                <w:lang w:val="en-US"/>
              </w:rPr>
              <w:t xml:space="preserve">Four calls for bids have been launched and three completed. In the first call for bids, Mexico tendered 14 exploration blocks in shallow waters and awarded two contracts. In the Second Bid, in a process with a high participation of international oil companies, Mexico awarded three of the five tendered blocks for extraction in shallow waters, this is 66% of the tendered fields. In the Third Bid, Mexico tendered 25 of the 25 onshore blocks for extraction. The fourth call for bids will tender 10 blocks for exploration and extraction in deep-water. </w:t>
            </w:r>
          </w:p>
          <w:p w:rsidR="0077314C" w:rsidRPr="0077314C" w:rsidRDefault="0077314C" w:rsidP="0077314C">
            <w:pPr>
              <w:spacing w:line="252" w:lineRule="auto"/>
              <w:jc w:val="both"/>
              <w:rPr>
                <w:sz w:val="24"/>
                <w:szCs w:val="24"/>
                <w:lang w:val="en-US"/>
              </w:rPr>
            </w:pPr>
            <w:r w:rsidRPr="0077314C">
              <w:rPr>
                <w:sz w:val="24"/>
                <w:szCs w:val="24"/>
                <w:lang w:val="en-US"/>
              </w:rPr>
              <w:t>Before the Energy Reform, only PEMEX was present in the Mexican E&amp;P sector, now we’ll have 30 additional companies from 7 different countries: Mexico (20), USA (4), Argentina (2), Italy (1), United Kingdom (1), Canada (1), and the Netherlands (1).</w:t>
            </w:r>
          </w:p>
          <w:p w:rsidR="00DD431D" w:rsidRDefault="00DD431D" w:rsidP="00DD431D">
            <w:pPr>
              <w:spacing w:line="252" w:lineRule="auto"/>
              <w:jc w:val="both"/>
              <w:rPr>
                <w:sz w:val="24"/>
                <w:szCs w:val="24"/>
                <w:lang w:val="en-AU"/>
              </w:rPr>
            </w:pPr>
          </w:p>
          <w:p w:rsidR="00DD431D" w:rsidRDefault="00DD431D" w:rsidP="00DD431D">
            <w:pPr>
              <w:autoSpaceDE w:val="0"/>
              <w:autoSpaceDN w:val="0"/>
              <w:jc w:val="both"/>
              <w:rPr>
                <w:b/>
                <w:bCs/>
                <w:sz w:val="24"/>
                <w:szCs w:val="24"/>
                <w:lang w:val="en-AU"/>
              </w:rPr>
            </w:pPr>
            <w:r w:rsidRPr="00013DCB">
              <w:rPr>
                <w:b/>
                <w:bCs/>
                <w:sz w:val="24"/>
                <w:szCs w:val="24"/>
                <w:lang w:val="en-AU"/>
              </w:rPr>
              <w:t>Natural gas</w:t>
            </w:r>
          </w:p>
          <w:p w:rsidR="00DD431D" w:rsidRDefault="00DD431D" w:rsidP="00DD431D">
            <w:pPr>
              <w:spacing w:line="252" w:lineRule="auto"/>
              <w:jc w:val="both"/>
              <w:rPr>
                <w:b/>
                <w:bCs/>
                <w:sz w:val="24"/>
                <w:szCs w:val="24"/>
                <w:lang w:val="en-AU"/>
              </w:rPr>
            </w:pPr>
          </w:p>
          <w:p w:rsidR="00DD431D" w:rsidRDefault="00DD431D" w:rsidP="00DD431D">
            <w:pPr>
              <w:jc w:val="both"/>
              <w:rPr>
                <w:sz w:val="24"/>
                <w:szCs w:val="24"/>
                <w:lang w:val="en-AU"/>
              </w:rPr>
            </w:pPr>
            <w:r>
              <w:rPr>
                <w:sz w:val="24"/>
                <w:szCs w:val="24"/>
                <w:lang w:val="en-AU"/>
              </w:rPr>
              <w:t xml:space="preserve">Regarding natural gas, CRE has issued 28 open access transportation permits which amount to 14,620 km with a total transportation </w:t>
            </w:r>
            <w:r>
              <w:rPr>
                <w:sz w:val="24"/>
                <w:szCs w:val="24"/>
                <w:lang w:val="en-AU"/>
              </w:rPr>
              <w:lastRenderedPageBreak/>
              <w:t xml:space="preserve">capacity of 17.69 bcf. On natural gas distribution, CRE has issued 26 permits that served 2,350,472 consumers in 2014 and add up to 51,297 km of pipeline (data as of December 2014). A new exclusive distribution zone is being auctioned that will serve 23,000 new end users with an expected investment of nearly 4 million dollars. What concerns storage, 4 permits were issued with an estimated investment of 3,254 million US dollars. </w:t>
            </w:r>
          </w:p>
          <w:p w:rsidR="00DD431D" w:rsidRDefault="00DD431D" w:rsidP="00DD431D">
            <w:pPr>
              <w:jc w:val="both"/>
              <w:rPr>
                <w:sz w:val="24"/>
                <w:szCs w:val="24"/>
                <w:lang w:val="en-AU"/>
              </w:rPr>
            </w:pPr>
          </w:p>
          <w:p w:rsidR="00DD431D" w:rsidRDefault="00DD431D" w:rsidP="00DD431D">
            <w:pPr>
              <w:jc w:val="both"/>
              <w:rPr>
                <w:sz w:val="24"/>
                <w:szCs w:val="24"/>
                <w:lang w:val="en-AU"/>
              </w:rPr>
            </w:pPr>
            <w:r>
              <w:rPr>
                <w:sz w:val="24"/>
                <w:szCs w:val="24"/>
                <w:lang w:val="en-AU"/>
              </w:rPr>
              <w:t xml:space="preserve">Additionally, due to the new legal framework set up by the Hydrocarbons Law and the Regulations of the activities referred by the Third Title for the Hydrocarbons Law, CRE has begun to receive and issue the first permits regarding Compressed and Liquefied Natural Gas. By the end of 2015, 56 new permits were issued regarding the new regulated activities within the natural gas value chain such as compression (15), semi-trailer transportation (10) and distribution (2), decompression (10), liquefaction (1), regasification (1) and service stations of compressed natural gas (17). </w:t>
            </w:r>
          </w:p>
          <w:p w:rsidR="00DD431D" w:rsidRDefault="00DD431D" w:rsidP="00DD431D">
            <w:pPr>
              <w:autoSpaceDE w:val="0"/>
              <w:autoSpaceDN w:val="0"/>
              <w:jc w:val="both"/>
              <w:rPr>
                <w:sz w:val="24"/>
                <w:szCs w:val="24"/>
                <w:lang w:val="en-AU"/>
              </w:rPr>
            </w:pPr>
          </w:p>
          <w:p w:rsidR="00DD431D" w:rsidRDefault="00DD431D" w:rsidP="00DD431D">
            <w:pPr>
              <w:autoSpaceDE w:val="0"/>
              <w:autoSpaceDN w:val="0"/>
              <w:jc w:val="both"/>
              <w:rPr>
                <w:sz w:val="24"/>
                <w:szCs w:val="24"/>
                <w:lang w:val="en-AU"/>
              </w:rPr>
            </w:pPr>
            <w:r>
              <w:rPr>
                <w:sz w:val="24"/>
                <w:szCs w:val="24"/>
                <w:lang w:val="en-AU"/>
              </w:rPr>
              <w:t>The Hydrocarbons Law (August 11</w:t>
            </w:r>
            <w:r>
              <w:rPr>
                <w:sz w:val="24"/>
                <w:szCs w:val="24"/>
                <w:vertAlign w:val="superscript"/>
                <w:lang w:val="en-AU"/>
              </w:rPr>
              <w:t xml:space="preserve">th </w:t>
            </w:r>
            <w:r>
              <w:rPr>
                <w:sz w:val="24"/>
                <w:szCs w:val="24"/>
                <w:lang w:val="en-AU"/>
              </w:rPr>
              <w:t>of 2014), within its two Regulations and its General Administrative Guidelines concerning open access and provision services of transport and storage of natural gas, defined the guiding lines of the gas industry in Mexico: open access to infrastructure, the unbundling of services, the promotion of a secondary capacity market to promote the existence of more actors, and the efficient use of infrastructure and competition. Open access and the existence of a secondary market with transport and storage capacity shall promote, in the long term, the existence of a more dynamic market.</w:t>
            </w:r>
          </w:p>
          <w:p w:rsidR="00DD431D" w:rsidRDefault="00DD431D" w:rsidP="00DD431D">
            <w:pPr>
              <w:jc w:val="both"/>
              <w:rPr>
                <w:b/>
                <w:bCs/>
                <w:sz w:val="24"/>
                <w:szCs w:val="24"/>
                <w:lang w:val="en-AU"/>
              </w:rPr>
            </w:pPr>
          </w:p>
          <w:p w:rsidR="00DD431D" w:rsidRDefault="00DD431D" w:rsidP="00DD431D">
            <w:pPr>
              <w:autoSpaceDE w:val="0"/>
              <w:autoSpaceDN w:val="0"/>
              <w:jc w:val="both"/>
              <w:rPr>
                <w:sz w:val="24"/>
                <w:szCs w:val="24"/>
                <w:lang w:val="en-AU"/>
              </w:rPr>
            </w:pPr>
            <w:r>
              <w:rPr>
                <w:sz w:val="24"/>
                <w:szCs w:val="24"/>
                <w:lang w:val="en-AU"/>
              </w:rPr>
              <w:t xml:space="preserve">CRE has harmoniously interacted with the National Centre of Natural Gas Control (CENAGAS by its Spanish acronym), created as a result of the Energy Reform, applying asymmetric regulation in cases where it is required. In this new stage, the guidelines issued by CRE to shape the actions of CENAGAS will serve to establish effectively, the conditions for competition in the transport and commercialization markets of natural gas. </w:t>
            </w:r>
          </w:p>
          <w:p w:rsidR="00DD431D" w:rsidRDefault="00DD431D" w:rsidP="00DD431D">
            <w:pPr>
              <w:autoSpaceDE w:val="0"/>
              <w:autoSpaceDN w:val="0"/>
              <w:jc w:val="both"/>
              <w:rPr>
                <w:sz w:val="24"/>
                <w:szCs w:val="24"/>
                <w:lang w:val="en-AU"/>
              </w:rPr>
            </w:pPr>
          </w:p>
          <w:p w:rsidR="00DD431D" w:rsidRDefault="00DD431D" w:rsidP="00DD431D">
            <w:pPr>
              <w:autoSpaceDE w:val="0"/>
              <w:autoSpaceDN w:val="0"/>
              <w:jc w:val="both"/>
              <w:rPr>
                <w:sz w:val="24"/>
                <w:szCs w:val="24"/>
                <w:lang w:val="en-AU"/>
              </w:rPr>
            </w:pPr>
            <w:r>
              <w:rPr>
                <w:sz w:val="24"/>
                <w:szCs w:val="24"/>
                <w:lang w:val="en-AU"/>
              </w:rPr>
              <w:t>Mexico's Five Year Plan for the Expansion of the National Integrated Transportation and Storage System of</w:t>
            </w:r>
            <w:r w:rsidR="00294F48">
              <w:rPr>
                <w:sz w:val="24"/>
                <w:szCs w:val="24"/>
                <w:lang w:val="en-AU"/>
              </w:rPr>
              <w:t xml:space="preserve"> Natural Gas is proposed by CENA</w:t>
            </w:r>
            <w:r>
              <w:rPr>
                <w:sz w:val="24"/>
                <w:szCs w:val="24"/>
                <w:lang w:val="en-AU"/>
              </w:rPr>
              <w:t>GAS, CRE makes recommendations, and SENER approves and issues it. Within this planning logic of economic efficiency and economic development, the risk of shortages is minimized, generating a proper balance, both in technical and economic terms.</w:t>
            </w:r>
          </w:p>
          <w:p w:rsidR="002E0996" w:rsidRDefault="002E0996" w:rsidP="00DD431D">
            <w:pPr>
              <w:autoSpaceDE w:val="0"/>
              <w:autoSpaceDN w:val="0"/>
              <w:jc w:val="both"/>
              <w:rPr>
                <w:sz w:val="24"/>
                <w:szCs w:val="24"/>
                <w:lang w:val="en-AU"/>
              </w:rPr>
            </w:pPr>
          </w:p>
          <w:p w:rsidR="002E0996" w:rsidRDefault="002E0996" w:rsidP="002E0996">
            <w:pPr>
              <w:jc w:val="both"/>
              <w:rPr>
                <w:sz w:val="24"/>
                <w:szCs w:val="24"/>
                <w:lang w:val="en-AU"/>
              </w:rPr>
            </w:pPr>
            <w:r w:rsidRPr="002E0996">
              <w:rPr>
                <w:sz w:val="24"/>
                <w:szCs w:val="24"/>
              </w:rPr>
              <w:t xml:space="preserve">The Directive that regulates First Hand Sales Price (Anexo Único de la Resolución RES/998/2015 METODOLOGÍA PARA LA DETERMINACIÓN DE LOS PRECIOS MÁXIMOS DEL GAS NATURAL OBJETO DE VENTA DE PRIMERA MANO, RES/998/2015, December, 2015), establishes the new methodology that sets Pemex’s maximum prices for natural gas first hand sales. </w:t>
            </w:r>
            <w:r w:rsidRPr="002E0996">
              <w:rPr>
                <w:sz w:val="24"/>
                <w:szCs w:val="24"/>
                <w:lang w:val="en-AU"/>
              </w:rPr>
              <w:t>Opportunity cost and competitive conditions of the international gas market were considered in this Directive. It also includes innovations (i.e. Henry Hub Index and Houston Ship Channel Index as the international market and price references) and a completely new methodology to calculate the long term relationship among Henry Hub, Houston Ship Channel and South Texas markets.</w:t>
            </w:r>
          </w:p>
          <w:p w:rsidR="002E0996" w:rsidRPr="002E0996" w:rsidRDefault="002E0996" w:rsidP="002E0996">
            <w:pPr>
              <w:jc w:val="both"/>
              <w:rPr>
                <w:sz w:val="24"/>
                <w:szCs w:val="24"/>
                <w:lang w:val="en-AU"/>
              </w:rPr>
            </w:pPr>
          </w:p>
          <w:p w:rsidR="002E0996" w:rsidRPr="002E0996" w:rsidRDefault="002E0996" w:rsidP="002E0996">
            <w:pPr>
              <w:autoSpaceDE w:val="0"/>
              <w:autoSpaceDN w:val="0"/>
              <w:jc w:val="both"/>
              <w:rPr>
                <w:sz w:val="24"/>
                <w:szCs w:val="24"/>
                <w:lang w:val="en-AU"/>
              </w:rPr>
            </w:pPr>
            <w:r w:rsidRPr="002E0996">
              <w:rPr>
                <w:sz w:val="24"/>
                <w:szCs w:val="24"/>
                <w:lang w:val="en-AU"/>
              </w:rPr>
              <w:t>The maximum price formula in the new Directive reflects both the new dynamics of the Mexican market as well as the conditions in the international market.</w:t>
            </w:r>
          </w:p>
          <w:p w:rsidR="002E0996" w:rsidRDefault="002E0996" w:rsidP="00DD431D">
            <w:pPr>
              <w:autoSpaceDE w:val="0"/>
              <w:autoSpaceDN w:val="0"/>
              <w:jc w:val="both"/>
              <w:rPr>
                <w:sz w:val="24"/>
                <w:szCs w:val="24"/>
                <w:lang w:val="en-AU"/>
              </w:rPr>
            </w:pPr>
          </w:p>
          <w:p w:rsidR="00DD431D" w:rsidRDefault="00DD431D" w:rsidP="00DD431D">
            <w:pPr>
              <w:spacing w:line="252" w:lineRule="auto"/>
              <w:jc w:val="both"/>
              <w:rPr>
                <w:b/>
                <w:bCs/>
                <w:sz w:val="24"/>
                <w:szCs w:val="24"/>
                <w:lang w:val="en-AU"/>
              </w:rPr>
            </w:pPr>
            <w:r>
              <w:rPr>
                <w:b/>
                <w:bCs/>
                <w:sz w:val="24"/>
                <w:szCs w:val="24"/>
                <w:lang w:val="en-AU"/>
              </w:rPr>
              <w:t>LP Gas</w:t>
            </w:r>
          </w:p>
          <w:p w:rsidR="00DD431D" w:rsidRDefault="00DD431D" w:rsidP="00DD431D">
            <w:pPr>
              <w:spacing w:line="252" w:lineRule="auto"/>
              <w:jc w:val="both"/>
              <w:rPr>
                <w:sz w:val="24"/>
                <w:szCs w:val="24"/>
                <w:lang w:val="en-AU"/>
              </w:rPr>
            </w:pPr>
          </w:p>
          <w:p w:rsidR="00DD431D" w:rsidRDefault="00DD431D" w:rsidP="00DD431D">
            <w:pPr>
              <w:spacing w:line="252" w:lineRule="auto"/>
              <w:jc w:val="both"/>
              <w:rPr>
                <w:sz w:val="24"/>
                <w:szCs w:val="24"/>
                <w:lang w:val="en-AU"/>
              </w:rPr>
            </w:pPr>
            <w:r>
              <w:rPr>
                <w:sz w:val="24"/>
                <w:szCs w:val="24"/>
                <w:lang w:val="en-AU"/>
              </w:rPr>
              <w:t xml:space="preserve">Up to December 2015, CRE administrated 35 permits regarding storage, transport and distribution by pipeline of LP gas as follows: </w:t>
            </w:r>
            <w:r>
              <w:rPr>
                <w:sz w:val="24"/>
                <w:szCs w:val="24"/>
                <w:lang w:val="en-AU"/>
              </w:rPr>
              <w:lastRenderedPageBreak/>
              <w:t xml:space="preserve">26 permits of Storage with a total capacity of 876,666,646.61 cubic meters; 5 permits of transport by pipeline with a total capacity of 173,200.45 cubic meters and 4 permits of distribution by pipeline with a total capacity of 1,035,230.66 cubic meters. </w:t>
            </w:r>
          </w:p>
          <w:p w:rsidR="00DD431D" w:rsidRDefault="00DD431D" w:rsidP="00DD431D">
            <w:pPr>
              <w:spacing w:line="252" w:lineRule="auto"/>
              <w:jc w:val="both"/>
              <w:rPr>
                <w:sz w:val="24"/>
                <w:szCs w:val="24"/>
                <w:lang w:val="en-AU"/>
              </w:rPr>
            </w:pPr>
          </w:p>
          <w:p w:rsidR="00DD431D" w:rsidRDefault="00DD431D" w:rsidP="00DD431D">
            <w:pPr>
              <w:spacing w:line="252" w:lineRule="auto"/>
              <w:jc w:val="both"/>
              <w:rPr>
                <w:sz w:val="24"/>
                <w:szCs w:val="24"/>
                <w:lang w:val="en-AU"/>
              </w:rPr>
            </w:pPr>
            <w:r>
              <w:rPr>
                <w:sz w:val="24"/>
                <w:szCs w:val="24"/>
                <w:lang w:val="en-AU"/>
              </w:rPr>
              <w:t>Only 20 of the LP gas storage permits had tariff regulation and worked under a list of terms and conditions for the use of the service. One permit has a current suspension. The 5 permits of pipeline transportation have tariff regulation and work under a list of terms and conditions regulation for the use of the service. The 4 distribution permits had no tariff regulation due to the control price of LP gas to the final user.</w:t>
            </w:r>
          </w:p>
          <w:p w:rsidR="00DD431D" w:rsidRDefault="00DD431D" w:rsidP="00DD431D">
            <w:pPr>
              <w:spacing w:line="252" w:lineRule="auto"/>
              <w:jc w:val="both"/>
              <w:rPr>
                <w:sz w:val="24"/>
                <w:szCs w:val="24"/>
                <w:lang w:val="en-AU"/>
              </w:rPr>
            </w:pPr>
          </w:p>
          <w:p w:rsidR="00DD431D" w:rsidRPr="00013DCB" w:rsidRDefault="00DD431D" w:rsidP="00DD431D">
            <w:pPr>
              <w:spacing w:line="252" w:lineRule="auto"/>
              <w:jc w:val="both"/>
              <w:rPr>
                <w:sz w:val="24"/>
                <w:szCs w:val="24"/>
                <w:lang w:val="en-US"/>
              </w:rPr>
            </w:pPr>
            <w:r>
              <w:rPr>
                <w:sz w:val="24"/>
                <w:szCs w:val="24"/>
                <w:lang w:val="en-AU"/>
              </w:rPr>
              <w:t>Before the Energy Reform, LP gas regulation was mainly under the Ministry of Energy’s regulation, who is now in charge of import permits of LP gas. The 1st of January of 2016 the Ministry of Energy will transfer CRE the permits issuance of retailing to the public, distribution, transportation and storage not linked to pipelines. Therefore, CRE will be in charge of regulating and promoting the efficient development of such permits.</w:t>
            </w:r>
            <w:r>
              <w:rPr>
                <w:color w:val="1F497D"/>
                <w:sz w:val="24"/>
                <w:szCs w:val="24"/>
                <w:lang w:val="en-AU"/>
              </w:rPr>
              <w:t xml:space="preserve"> </w:t>
            </w:r>
            <w:r w:rsidRPr="00013DCB">
              <w:rPr>
                <w:bCs/>
                <w:sz w:val="24"/>
                <w:szCs w:val="24"/>
                <w:lang w:val="en-US"/>
              </w:rPr>
              <w:t>Starting from that day, CRE will regulate all the industry chain.</w:t>
            </w:r>
            <w:r w:rsidRPr="00013DCB">
              <w:rPr>
                <w:sz w:val="24"/>
                <w:szCs w:val="24"/>
                <w:lang w:val="en-US"/>
              </w:rPr>
              <w:t xml:space="preserve"> </w:t>
            </w:r>
          </w:p>
          <w:p w:rsidR="00DD431D" w:rsidRDefault="00DD431D" w:rsidP="00DD431D">
            <w:pPr>
              <w:spacing w:line="252" w:lineRule="auto"/>
              <w:jc w:val="both"/>
              <w:rPr>
                <w:sz w:val="24"/>
                <w:szCs w:val="24"/>
                <w:lang w:val="en-US"/>
              </w:rPr>
            </w:pPr>
          </w:p>
          <w:p w:rsidR="00DD431D" w:rsidRDefault="00DD431D" w:rsidP="00DD431D">
            <w:pPr>
              <w:spacing w:line="252" w:lineRule="auto"/>
              <w:jc w:val="both"/>
              <w:rPr>
                <w:sz w:val="24"/>
                <w:szCs w:val="24"/>
                <w:lang w:val="en-US"/>
              </w:rPr>
            </w:pPr>
            <w:r>
              <w:rPr>
                <w:sz w:val="24"/>
                <w:szCs w:val="24"/>
                <w:lang w:val="en-AU"/>
              </w:rPr>
              <w:t>The General Administrative Guidelines that establish the requirements contained in articles 50 and 51 of the Hydrocarbon Law, the formats for submitting the permit applications, and the models for the permit titles of LP gas to carry out storage, transportation, distribution and retailing to public a</w:t>
            </w:r>
            <w:r w:rsidR="00013DCB">
              <w:rPr>
                <w:sz w:val="24"/>
                <w:szCs w:val="24"/>
                <w:lang w:val="en-AU"/>
              </w:rPr>
              <w:t>ctivities, aim to establish the</w:t>
            </w:r>
            <w:r>
              <w:rPr>
                <w:sz w:val="24"/>
                <w:szCs w:val="24"/>
                <w:lang w:val="en-AU"/>
              </w:rPr>
              <w:t> specifications that the applicants must fulfill. In this regard, the instruments that will be issued have as a purpose to apply economic regulation of open access to the systems of transport and distribution by pipelines, as well as to the storage centrals in general</w:t>
            </w:r>
            <w:r>
              <w:rPr>
                <w:sz w:val="24"/>
                <w:szCs w:val="24"/>
                <w:lang w:val="en-US"/>
              </w:rPr>
              <w:t xml:space="preserve">. </w:t>
            </w:r>
          </w:p>
          <w:p w:rsidR="00013DCB" w:rsidRDefault="00013DCB" w:rsidP="00DD431D">
            <w:pPr>
              <w:spacing w:line="252" w:lineRule="auto"/>
              <w:jc w:val="both"/>
              <w:rPr>
                <w:sz w:val="24"/>
                <w:szCs w:val="24"/>
                <w:lang w:val="en-US"/>
              </w:rPr>
            </w:pPr>
          </w:p>
          <w:p w:rsidR="00DD431D" w:rsidRDefault="00DD431D" w:rsidP="00DD431D">
            <w:pPr>
              <w:spacing w:line="252" w:lineRule="auto"/>
              <w:jc w:val="both"/>
              <w:rPr>
                <w:b/>
                <w:bCs/>
                <w:sz w:val="24"/>
                <w:szCs w:val="24"/>
                <w:lang w:val="en-AU"/>
              </w:rPr>
            </w:pPr>
            <w:r>
              <w:rPr>
                <w:b/>
                <w:bCs/>
                <w:sz w:val="24"/>
                <w:szCs w:val="24"/>
                <w:lang w:val="en-AU"/>
              </w:rPr>
              <w:t>Permits for transportation, storage and distribution of refined and Petrochemical products, and retail in petrol stations</w:t>
            </w:r>
          </w:p>
          <w:p w:rsidR="00DD431D" w:rsidRDefault="00DD431D" w:rsidP="00DD431D">
            <w:pPr>
              <w:spacing w:line="252" w:lineRule="auto"/>
              <w:jc w:val="both"/>
              <w:rPr>
                <w:sz w:val="24"/>
                <w:szCs w:val="24"/>
                <w:lang w:val="en-AU"/>
              </w:rPr>
            </w:pPr>
          </w:p>
          <w:p w:rsidR="00DD431D" w:rsidRDefault="00DD431D" w:rsidP="00DD431D">
            <w:pPr>
              <w:spacing w:line="252" w:lineRule="auto"/>
              <w:jc w:val="both"/>
              <w:rPr>
                <w:b/>
                <w:bCs/>
                <w:sz w:val="24"/>
                <w:szCs w:val="24"/>
                <w:lang w:val="en-US"/>
              </w:rPr>
            </w:pPr>
            <w:r>
              <w:rPr>
                <w:sz w:val="24"/>
                <w:szCs w:val="24"/>
                <w:lang w:val="en-AU"/>
              </w:rPr>
              <w:t>Regarding the permits mentioned above, up to 2015 CRE granted de following: Retail-sales in gas stations and self-consumption (granted 11, 028 and provisional 279); Retail-sales in airports</w:t>
            </w:r>
            <w:r>
              <w:rPr>
                <w:color w:val="1F497D"/>
                <w:sz w:val="24"/>
                <w:szCs w:val="24"/>
                <w:lang w:val="en-AU"/>
              </w:rPr>
              <w:t xml:space="preserve"> </w:t>
            </w:r>
            <w:r>
              <w:rPr>
                <w:sz w:val="24"/>
                <w:szCs w:val="24"/>
                <w:lang w:val="en-AU"/>
              </w:rPr>
              <w:t xml:space="preserve">(into plane services) (granted 61 and provisional 4); Transportation by other means -auto tanks- (granted 1, 089 and provisional 257); Transportation by other means –train- (granted 3); Transportation by other means –ship tankers- (granted 39 and provisional 6); Pipeline transportation (granted 14); </w:t>
            </w:r>
            <w:r>
              <w:rPr>
                <w:sz w:val="24"/>
                <w:szCs w:val="24"/>
                <w:lang w:val="en-US"/>
              </w:rPr>
              <w:t>Distribution by other means -different from pipelines- (granted 135 and provisional 97); Storage (granted 79 and provisional 9) Storage at airports (granted 60 and provisional 3)</w:t>
            </w:r>
            <w:r>
              <w:rPr>
                <w:color w:val="1F497D"/>
                <w:sz w:val="24"/>
                <w:szCs w:val="24"/>
                <w:lang w:val="en-US"/>
              </w:rPr>
              <w:t xml:space="preserve"> </w:t>
            </w:r>
            <w:r>
              <w:rPr>
                <w:sz w:val="24"/>
                <w:szCs w:val="24"/>
                <w:lang w:val="en-US"/>
              </w:rPr>
              <w:t xml:space="preserve">and Trading (granted 29). </w:t>
            </w:r>
            <w:r>
              <w:rPr>
                <w:b/>
                <w:bCs/>
                <w:sz w:val="24"/>
                <w:szCs w:val="24"/>
                <w:lang w:val="en-US"/>
              </w:rPr>
              <w:t>Totaling 13,192 permits (granted 12,537 and provisional 655)</w:t>
            </w:r>
          </w:p>
          <w:p w:rsidR="00DD431D" w:rsidRDefault="00DD431D" w:rsidP="00DD431D">
            <w:pPr>
              <w:spacing w:line="252" w:lineRule="auto"/>
              <w:jc w:val="both"/>
              <w:rPr>
                <w:sz w:val="24"/>
                <w:szCs w:val="24"/>
                <w:lang w:val="en-AU"/>
              </w:rPr>
            </w:pPr>
          </w:p>
          <w:p w:rsidR="00DD431D" w:rsidRDefault="00DD431D" w:rsidP="00DD431D">
            <w:pPr>
              <w:spacing w:line="252" w:lineRule="auto"/>
              <w:jc w:val="both"/>
              <w:rPr>
                <w:sz w:val="24"/>
                <w:szCs w:val="24"/>
                <w:lang w:val="en-AU"/>
              </w:rPr>
            </w:pPr>
            <w:r>
              <w:rPr>
                <w:sz w:val="24"/>
                <w:szCs w:val="24"/>
                <w:lang w:val="en-AU"/>
              </w:rPr>
              <w:t>The secondary legislation of the Energy Reform, stablishes that the 1st of January of 2016 the owners of gas/petrol stations and the tank truck operators transporting gasoline and diesel in the service stations, must have a permit issued by CRE this date is valid for retail service stations, not for transport activities by wheels.</w:t>
            </w:r>
          </w:p>
          <w:p w:rsidR="00DD431D" w:rsidRDefault="00DD431D" w:rsidP="00DD431D">
            <w:pPr>
              <w:spacing w:line="252" w:lineRule="auto"/>
              <w:jc w:val="both"/>
              <w:rPr>
                <w:sz w:val="24"/>
                <w:szCs w:val="24"/>
                <w:lang w:val="en-AU"/>
              </w:rPr>
            </w:pPr>
          </w:p>
          <w:p w:rsidR="00DD431D" w:rsidRDefault="00DD431D" w:rsidP="00DD431D">
            <w:pPr>
              <w:spacing w:line="252" w:lineRule="auto"/>
              <w:jc w:val="both"/>
              <w:rPr>
                <w:sz w:val="24"/>
                <w:szCs w:val="24"/>
                <w:lang w:val="en-AU"/>
              </w:rPr>
            </w:pPr>
            <w:r>
              <w:rPr>
                <w:sz w:val="24"/>
                <w:szCs w:val="24"/>
                <w:lang w:val="en-AU"/>
              </w:rPr>
              <w:t xml:space="preserve">The permits contained in the regulation will be valid up to 30 years (starting from the day they were issued) according to the General Administrative Guidelines and terms and conditions issued by SENER or CRE, where applicable. This excluding the import and export permits of hydrocarbons and petroleum products, which term will be stablished in the Foreign Trade Law. </w:t>
            </w:r>
          </w:p>
          <w:p w:rsidR="00DD431D" w:rsidRDefault="00DD431D" w:rsidP="00DD431D">
            <w:pPr>
              <w:spacing w:line="252" w:lineRule="auto"/>
              <w:jc w:val="both"/>
              <w:rPr>
                <w:sz w:val="24"/>
                <w:szCs w:val="24"/>
                <w:lang w:val="en-AU"/>
              </w:rPr>
            </w:pPr>
          </w:p>
          <w:p w:rsidR="00013DCB" w:rsidRDefault="00013DCB" w:rsidP="00DD431D">
            <w:pPr>
              <w:spacing w:line="252" w:lineRule="auto"/>
              <w:jc w:val="both"/>
              <w:rPr>
                <w:b/>
                <w:bCs/>
                <w:sz w:val="24"/>
                <w:szCs w:val="24"/>
                <w:lang w:val="en-AU"/>
              </w:rPr>
            </w:pPr>
          </w:p>
          <w:p w:rsidR="00013DCB" w:rsidRDefault="00013DCB" w:rsidP="00DD431D">
            <w:pPr>
              <w:spacing w:line="252" w:lineRule="auto"/>
              <w:jc w:val="both"/>
              <w:rPr>
                <w:b/>
                <w:bCs/>
                <w:sz w:val="24"/>
                <w:szCs w:val="24"/>
                <w:lang w:val="en-AU"/>
              </w:rPr>
            </w:pPr>
          </w:p>
          <w:p w:rsidR="00DD431D" w:rsidRDefault="00DD431D" w:rsidP="00DD431D">
            <w:pPr>
              <w:spacing w:line="252" w:lineRule="auto"/>
              <w:jc w:val="both"/>
              <w:rPr>
                <w:b/>
                <w:bCs/>
                <w:sz w:val="24"/>
                <w:szCs w:val="24"/>
                <w:lang w:val="en-AU"/>
              </w:rPr>
            </w:pPr>
            <w:r>
              <w:rPr>
                <w:b/>
                <w:bCs/>
                <w:sz w:val="24"/>
                <w:szCs w:val="24"/>
                <w:lang w:val="en-AU"/>
              </w:rPr>
              <w:t>Inspections</w:t>
            </w:r>
          </w:p>
          <w:p w:rsidR="00DD431D" w:rsidRDefault="00DD431D" w:rsidP="00DD431D">
            <w:pPr>
              <w:spacing w:line="252" w:lineRule="auto"/>
              <w:jc w:val="both"/>
              <w:rPr>
                <w:sz w:val="24"/>
                <w:szCs w:val="24"/>
                <w:lang w:val="en-AU"/>
              </w:rPr>
            </w:pPr>
          </w:p>
          <w:p w:rsidR="00DD431D" w:rsidRDefault="00DD431D" w:rsidP="00DD431D">
            <w:pPr>
              <w:spacing w:line="252" w:lineRule="auto"/>
              <w:jc w:val="both"/>
              <w:rPr>
                <w:sz w:val="24"/>
                <w:szCs w:val="24"/>
                <w:lang w:val="en-AU"/>
              </w:rPr>
            </w:pPr>
            <w:r>
              <w:rPr>
                <w:sz w:val="24"/>
                <w:szCs w:val="24"/>
                <w:lang w:val="en-AU"/>
              </w:rPr>
              <w:t>In 2015 CRE made some verification visits that are now within the competence of National Agency for industrial Safety and Environmental Protection of the Hydrocarbons Sector (ASEA by its Spanish acronym)</w:t>
            </w:r>
          </w:p>
          <w:p w:rsidR="00DD431D" w:rsidRDefault="00DD431D" w:rsidP="00DD431D">
            <w:pPr>
              <w:spacing w:line="252" w:lineRule="auto"/>
              <w:jc w:val="both"/>
              <w:rPr>
                <w:sz w:val="24"/>
                <w:szCs w:val="24"/>
                <w:lang w:val="en-AU"/>
              </w:rPr>
            </w:pPr>
          </w:p>
          <w:p w:rsidR="00DD431D" w:rsidRDefault="00DD431D" w:rsidP="00DD431D">
            <w:pPr>
              <w:spacing w:line="252" w:lineRule="auto"/>
              <w:jc w:val="both"/>
              <w:rPr>
                <w:sz w:val="24"/>
                <w:szCs w:val="24"/>
                <w:lang w:val="en-AU"/>
              </w:rPr>
            </w:pPr>
            <w:r>
              <w:rPr>
                <w:sz w:val="24"/>
                <w:szCs w:val="24"/>
                <w:lang w:val="en-AU"/>
              </w:rPr>
              <w:t xml:space="preserve">Within the Energy Reform, CRE will be doing verification visits and inspections regarding measurement and the quality of fuels. Additionally, CRE has the power to conduct verification visits regarding the compliance of the regulations it issues. </w:t>
            </w:r>
          </w:p>
          <w:p w:rsidR="009E1D7D" w:rsidRDefault="009E1D7D" w:rsidP="00DD431D">
            <w:pPr>
              <w:spacing w:line="252" w:lineRule="auto"/>
              <w:jc w:val="both"/>
              <w:rPr>
                <w:sz w:val="24"/>
                <w:szCs w:val="24"/>
                <w:lang w:val="en-AU"/>
              </w:rPr>
            </w:pPr>
          </w:p>
          <w:p w:rsidR="009E1D7D" w:rsidRPr="00E77154" w:rsidRDefault="009E1D7D" w:rsidP="009E1D7D">
            <w:pPr>
              <w:jc w:val="both"/>
              <w:rPr>
                <w:rFonts w:cstheme="minorHAnsi"/>
                <w:b/>
                <w:szCs w:val="24"/>
              </w:rPr>
            </w:pPr>
            <w:r w:rsidRPr="009E1D7D">
              <w:rPr>
                <w:rFonts w:cstheme="minorHAnsi"/>
                <w:b/>
                <w:szCs w:val="24"/>
              </w:rPr>
              <w:t>Energy Reform Results: Electricity Sector</w:t>
            </w:r>
            <w:r w:rsidRPr="00E77154">
              <w:rPr>
                <w:rFonts w:cstheme="minorHAnsi"/>
                <w:b/>
                <w:szCs w:val="24"/>
              </w:rPr>
              <w:t xml:space="preserve"> </w:t>
            </w:r>
          </w:p>
          <w:p w:rsidR="009E1D7D" w:rsidRDefault="009E1D7D" w:rsidP="009E1D7D">
            <w:pPr>
              <w:pStyle w:val="ListParagraph"/>
              <w:numPr>
                <w:ilvl w:val="0"/>
                <w:numId w:val="8"/>
              </w:numPr>
              <w:spacing w:after="120"/>
              <w:jc w:val="both"/>
              <w:rPr>
                <w:rFonts w:cstheme="minorHAnsi"/>
                <w:b/>
                <w:szCs w:val="24"/>
              </w:rPr>
            </w:pPr>
            <w:r w:rsidRPr="00467803">
              <w:rPr>
                <w:rFonts w:cstheme="minorHAnsi"/>
                <w:b/>
                <w:szCs w:val="24"/>
              </w:rPr>
              <w:t>National Center for Energy Control (CENACE)</w:t>
            </w:r>
          </w:p>
          <w:p w:rsidR="009E1D7D" w:rsidRPr="00467803" w:rsidRDefault="009E1D7D" w:rsidP="009E1D7D">
            <w:pPr>
              <w:spacing w:after="120"/>
              <w:jc w:val="both"/>
              <w:rPr>
                <w:rFonts w:cstheme="minorHAnsi"/>
                <w:szCs w:val="24"/>
                <w:lang w:val="en-US"/>
              </w:rPr>
            </w:pPr>
            <w:r w:rsidRPr="00467803">
              <w:rPr>
                <w:rFonts w:cstheme="minorHAnsi"/>
                <w:szCs w:val="24"/>
                <w:lang w:val="en-US"/>
              </w:rPr>
              <w:t>To comply with the provisions of the Electric Industry Law, the National Center for Energy Control (Centro Nacional de Control de Energía, CENACE for its acronym in Spanish) was established on August 28, 2014 as a decentralized public body. It is responsible for the operational control of the National Electric System and the operation of the Wholesale Electricity Market, as well as for the assurance of an open and non-discriminatory access to the transmission and distribution network</w:t>
            </w:r>
            <w:r>
              <w:rPr>
                <w:rFonts w:cstheme="minorHAnsi"/>
                <w:szCs w:val="24"/>
                <w:lang w:val="en-US"/>
              </w:rPr>
              <w:t>s</w:t>
            </w:r>
            <w:r w:rsidRPr="00467803">
              <w:rPr>
                <w:rFonts w:cstheme="minorHAnsi"/>
                <w:szCs w:val="24"/>
                <w:lang w:val="en-US"/>
              </w:rPr>
              <w:t xml:space="preserve">. </w:t>
            </w:r>
          </w:p>
          <w:p w:rsidR="009E1D7D" w:rsidRPr="00467803" w:rsidRDefault="009E1D7D" w:rsidP="009E1D7D">
            <w:pPr>
              <w:jc w:val="both"/>
              <w:rPr>
                <w:rFonts w:cstheme="minorHAnsi"/>
                <w:szCs w:val="24"/>
                <w:lang w:val="en-US"/>
              </w:rPr>
            </w:pPr>
          </w:p>
          <w:p w:rsidR="009E1D7D" w:rsidRPr="00467803" w:rsidRDefault="009E1D7D" w:rsidP="009E1D7D">
            <w:pPr>
              <w:jc w:val="both"/>
              <w:rPr>
                <w:rFonts w:cstheme="minorHAnsi"/>
                <w:szCs w:val="24"/>
                <w:lang w:val="en-US"/>
              </w:rPr>
            </w:pPr>
            <w:r w:rsidRPr="00467803">
              <w:rPr>
                <w:rFonts w:cstheme="minorHAnsi"/>
                <w:szCs w:val="24"/>
                <w:lang w:val="en-US"/>
              </w:rPr>
              <w:t>On March 9, 2015 was published the “Organic Statute of the National Center for Energy Control” in order to continue with the integration of the CENACE.</w:t>
            </w:r>
          </w:p>
          <w:p w:rsidR="009E1D7D" w:rsidRPr="00467803" w:rsidRDefault="009E1D7D" w:rsidP="009E1D7D">
            <w:pPr>
              <w:jc w:val="both"/>
              <w:rPr>
                <w:rFonts w:cstheme="minorHAnsi"/>
                <w:szCs w:val="24"/>
                <w:lang w:val="en-US"/>
              </w:rPr>
            </w:pPr>
            <w:r w:rsidRPr="00467803">
              <w:rPr>
                <w:rFonts w:cstheme="minorHAnsi"/>
                <w:szCs w:val="24"/>
                <w:lang w:val="en-US"/>
              </w:rPr>
              <w:t xml:space="preserve">The establishment of this independent operator will allow the operation of the Wholesale Electricity Market in total impartiality and adherence to economic considerations such as free competition, transparency and market efficiency. </w:t>
            </w:r>
          </w:p>
          <w:p w:rsidR="009E1D7D" w:rsidRPr="00467803" w:rsidRDefault="009E1D7D" w:rsidP="009E1D7D">
            <w:pPr>
              <w:jc w:val="both"/>
              <w:rPr>
                <w:rFonts w:cstheme="minorHAnsi"/>
                <w:szCs w:val="24"/>
                <w:lang w:val="en-US"/>
              </w:rPr>
            </w:pPr>
            <w:r w:rsidRPr="00467803">
              <w:rPr>
                <w:rFonts w:cstheme="minorHAnsi"/>
                <w:szCs w:val="24"/>
                <w:lang w:val="en-US"/>
              </w:rPr>
              <w:t>On November 19, 2015, the CENACE issued the call for the first long-term auction, to allocate contracts of electricity coverage for the purchase-s</w:t>
            </w:r>
            <w:r>
              <w:rPr>
                <w:rFonts w:cstheme="minorHAnsi"/>
                <w:szCs w:val="24"/>
                <w:lang w:val="en-US"/>
              </w:rPr>
              <w:t>ale of power and Clean Energies C</w:t>
            </w:r>
            <w:r w:rsidRPr="00467803">
              <w:rPr>
                <w:rFonts w:cstheme="minorHAnsi"/>
                <w:szCs w:val="24"/>
                <w:lang w:val="en-US"/>
              </w:rPr>
              <w:t>ertificates. And on November 30, it published the bidding rules for that auction.</w:t>
            </w:r>
          </w:p>
          <w:p w:rsidR="009E1D7D" w:rsidRDefault="009E1D7D" w:rsidP="009E1D7D">
            <w:pPr>
              <w:jc w:val="both"/>
              <w:rPr>
                <w:rFonts w:cstheme="minorHAnsi"/>
                <w:szCs w:val="24"/>
                <w:lang w:val="en-US"/>
              </w:rPr>
            </w:pPr>
            <w:r w:rsidRPr="00467803">
              <w:rPr>
                <w:rFonts w:cstheme="minorHAnsi"/>
                <w:szCs w:val="24"/>
                <w:lang w:val="en-US"/>
              </w:rPr>
              <w:t>Additionally, during November and December 2015, the CENACE conducted three training courses for enterprises interested in being participants of the Wholesale Electricity Market.</w:t>
            </w:r>
          </w:p>
          <w:p w:rsidR="009E1D7D" w:rsidRDefault="009E1D7D" w:rsidP="009E1D7D">
            <w:pPr>
              <w:jc w:val="both"/>
              <w:rPr>
                <w:rFonts w:cstheme="minorHAnsi"/>
                <w:szCs w:val="24"/>
                <w:lang w:val="en-US"/>
              </w:rPr>
            </w:pPr>
          </w:p>
          <w:p w:rsidR="009E1D7D" w:rsidRPr="00467803" w:rsidRDefault="009E1D7D" w:rsidP="009E1D7D">
            <w:pPr>
              <w:pStyle w:val="ListParagraph"/>
              <w:numPr>
                <w:ilvl w:val="0"/>
                <w:numId w:val="8"/>
              </w:numPr>
              <w:spacing w:after="120"/>
              <w:jc w:val="both"/>
              <w:rPr>
                <w:rFonts w:cstheme="minorHAnsi"/>
                <w:b/>
                <w:szCs w:val="24"/>
              </w:rPr>
            </w:pPr>
            <w:r w:rsidRPr="00467803">
              <w:rPr>
                <w:rFonts w:cstheme="minorHAnsi"/>
                <w:b/>
                <w:szCs w:val="24"/>
              </w:rPr>
              <w:t>Implementation of the Electricity Market</w:t>
            </w:r>
          </w:p>
          <w:p w:rsidR="009E1D7D" w:rsidRPr="00467803" w:rsidRDefault="009E1D7D" w:rsidP="009E1D7D">
            <w:pPr>
              <w:spacing w:after="120"/>
              <w:jc w:val="both"/>
              <w:rPr>
                <w:rFonts w:cstheme="minorHAnsi"/>
                <w:szCs w:val="24"/>
                <w:lang w:val="en-US"/>
              </w:rPr>
            </w:pPr>
            <w:r w:rsidRPr="00467803">
              <w:rPr>
                <w:rFonts w:cstheme="minorHAnsi"/>
                <w:szCs w:val="24"/>
                <w:lang w:val="en-US"/>
              </w:rPr>
              <w:t>The Electricity Market Guidelines (Bases del Mercado Eléctrico) were published on September 8, 2015 in the Federal Official Gazette. This document contains the schedule of implementation of the different components of the Electricity Market, which is the first part of the Market Rules. The Guidelines provide the necessary information to enable market participants to choose their business models.</w:t>
            </w:r>
          </w:p>
          <w:p w:rsidR="009E1D7D" w:rsidRPr="00467803" w:rsidRDefault="009E1D7D" w:rsidP="009E1D7D">
            <w:pPr>
              <w:jc w:val="both"/>
              <w:rPr>
                <w:rFonts w:cstheme="minorHAnsi"/>
                <w:szCs w:val="24"/>
                <w:lang w:val="en-US"/>
              </w:rPr>
            </w:pPr>
            <w:r w:rsidRPr="00467803">
              <w:rPr>
                <w:rFonts w:cstheme="minorHAnsi"/>
                <w:szCs w:val="24"/>
                <w:lang w:val="en-US"/>
              </w:rPr>
              <w:t xml:space="preserve">The operative provisions of the Market, elaborated by the Ministry of Energy (SENER), CENACE and the Energy Regulatory Commission (CRE), are the second part of the Market Rules. </w:t>
            </w:r>
          </w:p>
          <w:p w:rsidR="009E1D7D" w:rsidRPr="00467803" w:rsidRDefault="009E1D7D" w:rsidP="009E1D7D">
            <w:pPr>
              <w:jc w:val="both"/>
              <w:rPr>
                <w:rFonts w:cstheme="minorHAnsi"/>
                <w:szCs w:val="24"/>
                <w:lang w:val="en-US"/>
              </w:rPr>
            </w:pPr>
            <w:r w:rsidRPr="00467803">
              <w:rPr>
                <w:rFonts w:cstheme="minorHAnsi"/>
                <w:szCs w:val="24"/>
                <w:lang w:val="en-US"/>
              </w:rPr>
              <w:t>The advances in the operative provisions are:</w:t>
            </w:r>
          </w:p>
          <w:p w:rsidR="009E1D7D" w:rsidRPr="00467803" w:rsidRDefault="009E1D7D" w:rsidP="009E1D7D">
            <w:pPr>
              <w:ind w:left="384"/>
              <w:jc w:val="both"/>
              <w:rPr>
                <w:rFonts w:cstheme="minorHAnsi"/>
                <w:szCs w:val="24"/>
                <w:lang w:val="en-US"/>
              </w:rPr>
            </w:pPr>
            <w:r w:rsidRPr="00467803">
              <w:rPr>
                <w:rFonts w:cstheme="minorHAnsi"/>
                <w:szCs w:val="24"/>
                <w:lang w:val="en-US"/>
              </w:rPr>
              <w:t>•</w:t>
            </w:r>
            <w:r w:rsidRPr="00467803">
              <w:rPr>
                <w:rFonts w:cstheme="minorHAnsi"/>
                <w:szCs w:val="24"/>
                <w:lang w:val="en-US"/>
              </w:rPr>
              <w:tab/>
              <w:t xml:space="preserve">The Long-term Energy Auctions Manual was published on November 19, 2015 in the Federal Official Gazette. </w:t>
            </w:r>
          </w:p>
          <w:p w:rsidR="009E1D7D" w:rsidRPr="00467803" w:rsidRDefault="009E1D7D" w:rsidP="009E1D7D">
            <w:pPr>
              <w:ind w:left="384"/>
              <w:jc w:val="both"/>
              <w:rPr>
                <w:rFonts w:cstheme="minorHAnsi"/>
                <w:szCs w:val="24"/>
                <w:lang w:val="en-US"/>
              </w:rPr>
            </w:pPr>
            <w:r w:rsidRPr="00467803">
              <w:rPr>
                <w:rFonts w:cstheme="minorHAnsi"/>
                <w:szCs w:val="24"/>
                <w:lang w:val="en-US"/>
              </w:rPr>
              <w:t>•</w:t>
            </w:r>
            <w:r w:rsidRPr="00467803">
              <w:rPr>
                <w:rFonts w:cstheme="minorHAnsi"/>
                <w:szCs w:val="24"/>
                <w:lang w:val="en-US"/>
              </w:rPr>
              <w:tab/>
              <w:t>The following operative provisions are available sin</w:t>
            </w:r>
            <w:r>
              <w:rPr>
                <w:rFonts w:cstheme="minorHAnsi"/>
                <w:szCs w:val="24"/>
                <w:lang w:val="en-US"/>
              </w:rPr>
              <w:t>ce</w:t>
            </w:r>
            <w:r w:rsidRPr="00467803">
              <w:rPr>
                <w:rFonts w:cstheme="minorHAnsi"/>
                <w:szCs w:val="24"/>
                <w:lang w:val="en-US"/>
              </w:rPr>
              <w:t xml:space="preserve"> December 14, 2015 for public consultation:</w:t>
            </w:r>
          </w:p>
          <w:p w:rsidR="009E1D7D" w:rsidRPr="00467803" w:rsidRDefault="009E1D7D" w:rsidP="009E1D7D">
            <w:pPr>
              <w:ind w:left="669" w:firstLine="425"/>
              <w:jc w:val="both"/>
              <w:rPr>
                <w:rFonts w:cstheme="minorHAnsi"/>
                <w:szCs w:val="24"/>
                <w:lang w:val="en-US"/>
              </w:rPr>
            </w:pPr>
            <w:r w:rsidRPr="00467803">
              <w:rPr>
                <w:rFonts w:cstheme="minorHAnsi"/>
                <w:szCs w:val="24"/>
                <w:lang w:val="en-US"/>
              </w:rPr>
              <w:t>­</w:t>
            </w:r>
            <w:r w:rsidRPr="00467803">
              <w:rPr>
                <w:rFonts w:cstheme="minorHAnsi"/>
                <w:szCs w:val="24"/>
                <w:lang w:val="en-US"/>
              </w:rPr>
              <w:tab/>
              <w:t>Short-term Energy Markets Manual</w:t>
            </w:r>
          </w:p>
          <w:p w:rsidR="009E1D7D" w:rsidRPr="00467803" w:rsidRDefault="009E1D7D" w:rsidP="009E1D7D">
            <w:pPr>
              <w:ind w:left="669" w:firstLine="425"/>
              <w:jc w:val="both"/>
              <w:rPr>
                <w:rFonts w:cstheme="minorHAnsi"/>
                <w:szCs w:val="24"/>
                <w:lang w:val="en-US"/>
              </w:rPr>
            </w:pPr>
            <w:r w:rsidRPr="00467803">
              <w:rPr>
                <w:rFonts w:cstheme="minorHAnsi"/>
                <w:szCs w:val="24"/>
                <w:lang w:val="en-US"/>
              </w:rPr>
              <w:t>­</w:t>
            </w:r>
            <w:r w:rsidRPr="00467803">
              <w:rPr>
                <w:rFonts w:cstheme="minorHAnsi"/>
                <w:szCs w:val="24"/>
                <w:lang w:val="en-US"/>
              </w:rPr>
              <w:tab/>
              <w:t>Statement, Billing and Payment Manual</w:t>
            </w:r>
          </w:p>
          <w:p w:rsidR="009E1D7D" w:rsidRPr="00467803" w:rsidRDefault="009E1D7D" w:rsidP="009E1D7D">
            <w:pPr>
              <w:ind w:left="669" w:firstLine="425"/>
              <w:jc w:val="both"/>
              <w:rPr>
                <w:rFonts w:cstheme="minorHAnsi"/>
                <w:szCs w:val="24"/>
                <w:lang w:val="en-US"/>
              </w:rPr>
            </w:pPr>
            <w:r w:rsidRPr="00467803">
              <w:rPr>
                <w:rFonts w:cstheme="minorHAnsi"/>
                <w:szCs w:val="24"/>
                <w:lang w:val="en-US"/>
              </w:rPr>
              <w:t>­</w:t>
            </w:r>
            <w:r w:rsidRPr="00467803">
              <w:rPr>
                <w:rFonts w:cstheme="minorHAnsi"/>
                <w:szCs w:val="24"/>
                <w:lang w:val="en-US"/>
              </w:rPr>
              <w:tab/>
              <w:t>Forecast Manual</w:t>
            </w:r>
          </w:p>
          <w:p w:rsidR="009E1D7D" w:rsidRPr="00467803" w:rsidRDefault="009E1D7D" w:rsidP="009E1D7D">
            <w:pPr>
              <w:ind w:left="669" w:firstLine="425"/>
              <w:jc w:val="both"/>
              <w:rPr>
                <w:rFonts w:cstheme="minorHAnsi"/>
                <w:szCs w:val="24"/>
                <w:lang w:val="en-US"/>
              </w:rPr>
            </w:pPr>
            <w:r w:rsidRPr="00467803">
              <w:rPr>
                <w:rFonts w:cstheme="minorHAnsi"/>
                <w:szCs w:val="24"/>
                <w:lang w:val="en-US"/>
              </w:rPr>
              <w:t>­</w:t>
            </w:r>
            <w:r w:rsidRPr="00467803">
              <w:rPr>
                <w:rFonts w:cstheme="minorHAnsi"/>
                <w:szCs w:val="24"/>
                <w:lang w:val="en-US"/>
              </w:rPr>
              <w:tab/>
              <w:t>Settlements Manual</w:t>
            </w:r>
          </w:p>
          <w:p w:rsidR="009E1D7D" w:rsidRPr="00467803" w:rsidRDefault="009E1D7D" w:rsidP="009E1D7D">
            <w:pPr>
              <w:ind w:left="669" w:firstLine="425"/>
              <w:jc w:val="both"/>
              <w:rPr>
                <w:rFonts w:cstheme="minorHAnsi"/>
                <w:szCs w:val="24"/>
                <w:lang w:val="en-US"/>
              </w:rPr>
            </w:pPr>
            <w:r w:rsidRPr="00467803">
              <w:rPr>
                <w:rFonts w:cstheme="minorHAnsi"/>
                <w:szCs w:val="24"/>
                <w:lang w:val="en-US"/>
              </w:rPr>
              <w:t>­</w:t>
            </w:r>
            <w:r w:rsidRPr="00467803">
              <w:rPr>
                <w:rFonts w:cstheme="minorHAnsi"/>
                <w:szCs w:val="24"/>
                <w:lang w:val="en-US"/>
              </w:rPr>
              <w:tab/>
              <w:t>Compliance Guarantee Manual</w:t>
            </w:r>
          </w:p>
          <w:p w:rsidR="009E1D7D" w:rsidRPr="00467803" w:rsidRDefault="009E1D7D" w:rsidP="009E1D7D">
            <w:pPr>
              <w:ind w:left="669" w:firstLine="425"/>
              <w:jc w:val="both"/>
              <w:rPr>
                <w:rFonts w:cstheme="minorHAnsi"/>
                <w:szCs w:val="24"/>
                <w:lang w:val="en-US"/>
              </w:rPr>
            </w:pPr>
            <w:r w:rsidRPr="00467803">
              <w:rPr>
                <w:rFonts w:cstheme="minorHAnsi"/>
                <w:szCs w:val="24"/>
                <w:lang w:val="en-US"/>
              </w:rPr>
              <w:t>­</w:t>
            </w:r>
            <w:r w:rsidRPr="00467803">
              <w:rPr>
                <w:rFonts w:cstheme="minorHAnsi"/>
                <w:szCs w:val="24"/>
                <w:lang w:val="en-US"/>
              </w:rPr>
              <w:tab/>
              <w:t>System of Market Information Manual</w:t>
            </w:r>
          </w:p>
          <w:p w:rsidR="009E1D7D" w:rsidRPr="00467803" w:rsidRDefault="009E1D7D" w:rsidP="009E1D7D">
            <w:pPr>
              <w:ind w:left="669" w:firstLine="425"/>
              <w:jc w:val="both"/>
              <w:rPr>
                <w:rFonts w:cstheme="minorHAnsi"/>
                <w:szCs w:val="24"/>
                <w:lang w:val="en-US"/>
              </w:rPr>
            </w:pPr>
            <w:r w:rsidRPr="00467803">
              <w:rPr>
                <w:rFonts w:cstheme="minorHAnsi"/>
                <w:szCs w:val="24"/>
                <w:lang w:val="en-US"/>
              </w:rPr>
              <w:t>­</w:t>
            </w:r>
            <w:r w:rsidRPr="00467803">
              <w:rPr>
                <w:rFonts w:cstheme="minorHAnsi"/>
                <w:szCs w:val="24"/>
                <w:lang w:val="en-US"/>
              </w:rPr>
              <w:tab/>
              <w:t>Import and Export manual</w:t>
            </w:r>
          </w:p>
          <w:p w:rsidR="009E1D7D" w:rsidRPr="00467803" w:rsidRDefault="009E1D7D" w:rsidP="009E1D7D">
            <w:pPr>
              <w:ind w:left="669" w:firstLine="425"/>
              <w:jc w:val="both"/>
              <w:rPr>
                <w:rFonts w:cstheme="minorHAnsi"/>
                <w:szCs w:val="24"/>
                <w:lang w:val="en-US"/>
              </w:rPr>
            </w:pPr>
            <w:r w:rsidRPr="00467803">
              <w:rPr>
                <w:rFonts w:cstheme="minorHAnsi"/>
                <w:szCs w:val="24"/>
                <w:lang w:val="en-US"/>
              </w:rPr>
              <w:t>­</w:t>
            </w:r>
            <w:r w:rsidRPr="00467803">
              <w:rPr>
                <w:rFonts w:cstheme="minorHAnsi"/>
                <w:szCs w:val="24"/>
                <w:lang w:val="en-US"/>
              </w:rPr>
              <w:tab/>
              <w:t>Dispute Resolution Manual</w:t>
            </w:r>
          </w:p>
          <w:p w:rsidR="009E1D7D" w:rsidRPr="00467803" w:rsidRDefault="009E1D7D" w:rsidP="009E1D7D">
            <w:pPr>
              <w:spacing w:after="120"/>
              <w:ind w:left="669" w:firstLine="425"/>
              <w:jc w:val="both"/>
              <w:rPr>
                <w:rFonts w:cstheme="minorHAnsi"/>
                <w:szCs w:val="24"/>
                <w:lang w:val="en-US"/>
              </w:rPr>
            </w:pPr>
            <w:r w:rsidRPr="00467803">
              <w:rPr>
                <w:rFonts w:cstheme="minorHAnsi"/>
                <w:szCs w:val="24"/>
                <w:lang w:val="en-US"/>
              </w:rPr>
              <w:t>­</w:t>
            </w:r>
            <w:r w:rsidRPr="00467803">
              <w:rPr>
                <w:rFonts w:cstheme="minorHAnsi"/>
                <w:szCs w:val="24"/>
                <w:lang w:val="en-US"/>
              </w:rPr>
              <w:tab/>
              <w:t>Measurement of Settlements Manual</w:t>
            </w:r>
          </w:p>
          <w:p w:rsidR="009E1D7D" w:rsidRPr="00467803" w:rsidRDefault="009E1D7D" w:rsidP="009E1D7D">
            <w:pPr>
              <w:spacing w:after="120"/>
              <w:jc w:val="both"/>
              <w:rPr>
                <w:rFonts w:cstheme="minorHAnsi"/>
                <w:szCs w:val="24"/>
                <w:lang w:val="en-US"/>
              </w:rPr>
            </w:pPr>
            <w:r w:rsidRPr="00467803">
              <w:rPr>
                <w:rFonts w:cstheme="minorHAnsi"/>
                <w:szCs w:val="24"/>
                <w:lang w:val="en-US"/>
              </w:rPr>
              <w:lastRenderedPageBreak/>
              <w:t>The Electricity Market Guidelines and the Operative Provisions are together the legal framework that will regulate the Wholesale Electricity Market.</w:t>
            </w:r>
          </w:p>
          <w:p w:rsidR="009E1D7D" w:rsidRPr="00467803" w:rsidRDefault="009E1D7D" w:rsidP="009E1D7D">
            <w:pPr>
              <w:jc w:val="both"/>
              <w:rPr>
                <w:rFonts w:cstheme="minorHAnsi"/>
                <w:szCs w:val="24"/>
                <w:lang w:val="en-US"/>
              </w:rPr>
            </w:pPr>
            <w:r w:rsidRPr="00467803">
              <w:rPr>
                <w:rFonts w:cstheme="minorHAnsi"/>
                <w:szCs w:val="24"/>
                <w:lang w:val="en-US"/>
              </w:rPr>
              <w:t>During this year 2016, the advances in the entry into operation of the Short-term Energy Market are:</w:t>
            </w:r>
          </w:p>
          <w:p w:rsidR="009E1D7D" w:rsidRPr="00467803" w:rsidRDefault="009E1D7D" w:rsidP="009E1D7D">
            <w:pPr>
              <w:ind w:left="1092"/>
              <w:jc w:val="both"/>
              <w:rPr>
                <w:rFonts w:cstheme="minorHAnsi"/>
                <w:szCs w:val="24"/>
                <w:lang w:val="en-US"/>
              </w:rPr>
            </w:pPr>
            <w:r w:rsidRPr="00467803">
              <w:rPr>
                <w:rFonts w:cstheme="minorHAnsi"/>
                <w:szCs w:val="24"/>
                <w:lang w:val="en-US"/>
              </w:rPr>
              <w:t>-</w:t>
            </w:r>
            <w:r w:rsidRPr="00467803">
              <w:rPr>
                <w:rFonts w:cstheme="minorHAnsi"/>
                <w:szCs w:val="24"/>
                <w:lang w:val="en-US"/>
              </w:rPr>
              <w:tab/>
              <w:t>From January 1, 2016, the CENACE started receiving applications for the registration of physical assets (power plants and cargo centers) that will be included in the Short-term Energy Market.</w:t>
            </w:r>
          </w:p>
          <w:p w:rsidR="009E1D7D" w:rsidRPr="00467803" w:rsidRDefault="009E1D7D" w:rsidP="009E1D7D">
            <w:pPr>
              <w:ind w:left="1092"/>
              <w:jc w:val="both"/>
              <w:rPr>
                <w:rFonts w:cstheme="minorHAnsi"/>
                <w:szCs w:val="24"/>
                <w:lang w:val="en-US"/>
              </w:rPr>
            </w:pPr>
            <w:r w:rsidRPr="00467803">
              <w:rPr>
                <w:rFonts w:cstheme="minorHAnsi"/>
                <w:szCs w:val="24"/>
                <w:lang w:val="en-US"/>
              </w:rPr>
              <w:t>-</w:t>
            </w:r>
            <w:r w:rsidRPr="00467803">
              <w:rPr>
                <w:rFonts w:cstheme="minorHAnsi"/>
                <w:szCs w:val="24"/>
                <w:lang w:val="en-US"/>
              </w:rPr>
              <w:tab/>
              <w:t>From January 11 to January 22, 2016, the CENACE conducted tests of the systems and processes with the Market participants.</w:t>
            </w:r>
          </w:p>
          <w:p w:rsidR="009E1D7D" w:rsidRDefault="009E1D7D" w:rsidP="009E1D7D">
            <w:pPr>
              <w:ind w:left="1092"/>
              <w:jc w:val="both"/>
              <w:rPr>
                <w:rFonts w:cstheme="minorHAnsi"/>
                <w:szCs w:val="24"/>
                <w:lang w:val="en-US"/>
              </w:rPr>
            </w:pPr>
            <w:r w:rsidRPr="00467803">
              <w:rPr>
                <w:rFonts w:cstheme="minorHAnsi"/>
                <w:szCs w:val="24"/>
                <w:lang w:val="en-US"/>
              </w:rPr>
              <w:t>-</w:t>
            </w:r>
            <w:r w:rsidRPr="00467803">
              <w:rPr>
                <w:rFonts w:cstheme="minorHAnsi"/>
                <w:szCs w:val="24"/>
                <w:lang w:val="en-US"/>
              </w:rPr>
              <w:tab/>
              <w:t>On January 27, 2016, the CENACE announced the start of the Wholesale Electricity Market in the region of Baja California.</w:t>
            </w:r>
          </w:p>
          <w:p w:rsidR="009E1D7D" w:rsidRDefault="009E1D7D" w:rsidP="009E1D7D">
            <w:pPr>
              <w:ind w:left="1092"/>
              <w:jc w:val="both"/>
              <w:rPr>
                <w:rFonts w:cstheme="minorHAnsi"/>
                <w:szCs w:val="24"/>
                <w:lang w:val="en-US"/>
              </w:rPr>
            </w:pPr>
          </w:p>
          <w:p w:rsidR="009E1D7D" w:rsidRPr="00467803" w:rsidRDefault="009E1D7D" w:rsidP="009E1D7D">
            <w:pPr>
              <w:pStyle w:val="ListParagraph"/>
              <w:numPr>
                <w:ilvl w:val="0"/>
                <w:numId w:val="8"/>
              </w:numPr>
              <w:spacing w:after="120"/>
              <w:jc w:val="both"/>
              <w:rPr>
                <w:rFonts w:cstheme="minorHAnsi"/>
                <w:b/>
                <w:szCs w:val="24"/>
              </w:rPr>
            </w:pPr>
            <w:r w:rsidRPr="00467803">
              <w:rPr>
                <w:rFonts w:cstheme="minorHAnsi"/>
                <w:b/>
                <w:szCs w:val="24"/>
              </w:rPr>
              <w:t>Universal Electric Service Fund</w:t>
            </w:r>
          </w:p>
          <w:p w:rsidR="009E1D7D" w:rsidRPr="00467803" w:rsidRDefault="009E1D7D" w:rsidP="009E1D7D">
            <w:pPr>
              <w:spacing w:after="120"/>
              <w:jc w:val="both"/>
              <w:rPr>
                <w:rFonts w:cstheme="minorHAnsi"/>
                <w:szCs w:val="24"/>
                <w:lang w:val="en-US"/>
              </w:rPr>
            </w:pPr>
            <w:r w:rsidRPr="00467803">
              <w:rPr>
                <w:rFonts w:cstheme="minorHAnsi"/>
                <w:szCs w:val="24"/>
                <w:lang w:val="en-US"/>
              </w:rPr>
              <w:t>The Universal Electric Service Fund was established on September 2014 with the purpose of financing the electrification in rural communities and marginalized urban areas. It will be integrated by the surplus revenue resulting from the management of technical losses when the market Wholesale Electric is operating.</w:t>
            </w:r>
          </w:p>
          <w:p w:rsidR="009E1D7D" w:rsidRPr="00467803" w:rsidRDefault="009E1D7D" w:rsidP="009E1D7D">
            <w:pPr>
              <w:jc w:val="both"/>
              <w:rPr>
                <w:rFonts w:cstheme="minorHAnsi"/>
                <w:szCs w:val="24"/>
                <w:lang w:val="en-US"/>
              </w:rPr>
            </w:pPr>
            <w:r w:rsidRPr="00467803">
              <w:rPr>
                <w:rFonts w:cstheme="minorHAnsi"/>
                <w:szCs w:val="24"/>
                <w:lang w:val="en-US"/>
              </w:rPr>
              <w:t>The achievements during 2015 were:</w:t>
            </w:r>
          </w:p>
          <w:p w:rsidR="009E1D7D" w:rsidRPr="00467803" w:rsidRDefault="009E1D7D" w:rsidP="009E1D7D">
            <w:pPr>
              <w:jc w:val="both"/>
              <w:rPr>
                <w:rFonts w:cstheme="minorHAnsi"/>
                <w:szCs w:val="24"/>
                <w:lang w:val="en-US"/>
              </w:rPr>
            </w:pPr>
            <w:r w:rsidRPr="00467803">
              <w:rPr>
                <w:rFonts w:cstheme="minorHAnsi"/>
                <w:szCs w:val="24"/>
                <w:lang w:val="en-US"/>
              </w:rPr>
              <w:t xml:space="preserve">a) Adoption of the Operation Rules of the Trust of the Universal Electric Service Fund. </w:t>
            </w:r>
          </w:p>
          <w:p w:rsidR="009E1D7D" w:rsidRPr="00467803" w:rsidRDefault="009E1D7D" w:rsidP="009E1D7D">
            <w:pPr>
              <w:jc w:val="both"/>
              <w:rPr>
                <w:rFonts w:cstheme="minorHAnsi"/>
                <w:szCs w:val="24"/>
                <w:lang w:val="en-US"/>
              </w:rPr>
            </w:pPr>
            <w:r w:rsidRPr="00467803">
              <w:rPr>
                <w:rFonts w:cstheme="minorHAnsi"/>
                <w:szCs w:val="24"/>
                <w:lang w:val="en-US"/>
              </w:rPr>
              <w:t>b)  Presentation of the documents “Policies for the allocation of resources” and “Procedure for the approval and delivery of resources”.</w:t>
            </w:r>
          </w:p>
          <w:p w:rsidR="009E1D7D" w:rsidRDefault="009E1D7D" w:rsidP="009E1D7D">
            <w:pPr>
              <w:jc w:val="both"/>
              <w:rPr>
                <w:rFonts w:cstheme="minorHAnsi"/>
                <w:szCs w:val="24"/>
                <w:lang w:val="en-US"/>
              </w:rPr>
            </w:pPr>
            <w:r w:rsidRPr="00467803">
              <w:rPr>
                <w:rFonts w:cstheme="minorHAnsi"/>
                <w:szCs w:val="24"/>
                <w:lang w:val="en-US"/>
              </w:rPr>
              <w:t>c) Presentation of the pilot program 2015 called “Rural Electrification with Photovoltaic Systems in one-family dwellings”.</w:t>
            </w:r>
          </w:p>
          <w:p w:rsidR="009E1D7D" w:rsidRDefault="009E1D7D" w:rsidP="009E1D7D">
            <w:pPr>
              <w:jc w:val="both"/>
              <w:rPr>
                <w:rFonts w:cstheme="minorHAnsi"/>
                <w:szCs w:val="24"/>
                <w:lang w:val="en-US"/>
              </w:rPr>
            </w:pPr>
          </w:p>
          <w:p w:rsidR="009E1D7D" w:rsidRPr="00467803" w:rsidRDefault="009E1D7D" w:rsidP="009E1D7D">
            <w:pPr>
              <w:pStyle w:val="ListParagraph"/>
              <w:numPr>
                <w:ilvl w:val="0"/>
                <w:numId w:val="8"/>
              </w:numPr>
              <w:spacing w:after="120"/>
              <w:jc w:val="both"/>
              <w:rPr>
                <w:rFonts w:cstheme="minorHAnsi"/>
                <w:b/>
                <w:szCs w:val="24"/>
              </w:rPr>
            </w:pPr>
            <w:r w:rsidRPr="00467803">
              <w:rPr>
                <w:rFonts w:cstheme="minorHAnsi"/>
                <w:b/>
                <w:szCs w:val="24"/>
              </w:rPr>
              <w:t>Clean Energy</w:t>
            </w:r>
          </w:p>
          <w:p w:rsidR="009E1D7D" w:rsidRPr="00467803" w:rsidRDefault="009E1D7D" w:rsidP="009E1D7D">
            <w:pPr>
              <w:spacing w:after="120"/>
              <w:jc w:val="both"/>
              <w:rPr>
                <w:rFonts w:cstheme="minorHAnsi"/>
                <w:szCs w:val="24"/>
                <w:lang w:val="en-US"/>
              </w:rPr>
            </w:pPr>
            <w:r w:rsidRPr="00467803">
              <w:rPr>
                <w:rFonts w:cstheme="minorHAnsi"/>
                <w:szCs w:val="24"/>
                <w:lang w:val="en-US"/>
              </w:rPr>
              <w:t>The demand for clean energy will be satisfied through an instrument called “Clean Energies Certificates”.</w:t>
            </w:r>
          </w:p>
          <w:p w:rsidR="009E1D7D" w:rsidRPr="00467803" w:rsidRDefault="009E1D7D" w:rsidP="009E1D7D">
            <w:pPr>
              <w:jc w:val="both"/>
              <w:rPr>
                <w:rFonts w:cstheme="minorHAnsi"/>
                <w:szCs w:val="24"/>
                <w:lang w:val="en-US"/>
              </w:rPr>
            </w:pPr>
            <w:r w:rsidRPr="00467803">
              <w:rPr>
                <w:rFonts w:cstheme="minorHAnsi"/>
                <w:szCs w:val="24"/>
                <w:lang w:val="en-US"/>
              </w:rPr>
              <w:t xml:space="preserve">Therefore, the “Guidelines that establish the criteria for granting Clean Energies Certificates and the requirements for their </w:t>
            </w:r>
            <w:r>
              <w:rPr>
                <w:rFonts w:cstheme="minorHAnsi"/>
                <w:szCs w:val="24"/>
                <w:lang w:val="en-US"/>
              </w:rPr>
              <w:t>acquisition” were published on O</w:t>
            </w:r>
            <w:r w:rsidRPr="00467803">
              <w:rPr>
                <w:rFonts w:cstheme="minorHAnsi"/>
                <w:szCs w:val="24"/>
                <w:lang w:val="en-US"/>
              </w:rPr>
              <w:t>ctober 31, 2014 Federal Official Gazette.</w:t>
            </w:r>
          </w:p>
          <w:p w:rsidR="009E1D7D" w:rsidRDefault="009E1D7D" w:rsidP="009E1D7D">
            <w:pPr>
              <w:jc w:val="both"/>
              <w:rPr>
                <w:rFonts w:cstheme="minorHAnsi"/>
                <w:szCs w:val="24"/>
                <w:lang w:val="en-US"/>
              </w:rPr>
            </w:pPr>
            <w:r w:rsidRPr="00467803">
              <w:rPr>
                <w:rFonts w:cstheme="minorHAnsi"/>
                <w:szCs w:val="24"/>
                <w:lang w:val="en-US"/>
              </w:rPr>
              <w:t>Likewise, on March 31, 2015 was published the "Notice that informs the requirement to acquire Clean Energies Certificates for the year 2018", which will be 5%, which must be met by the suppliers, qualified users and end users that are supplied by isolated supply.</w:t>
            </w:r>
          </w:p>
          <w:p w:rsidR="009E1D7D" w:rsidRDefault="009E1D7D" w:rsidP="009E1D7D">
            <w:pPr>
              <w:jc w:val="both"/>
              <w:rPr>
                <w:rFonts w:cstheme="minorHAnsi"/>
                <w:szCs w:val="24"/>
                <w:lang w:val="en-US"/>
              </w:rPr>
            </w:pPr>
          </w:p>
          <w:p w:rsidR="009E1D7D" w:rsidRPr="00467803" w:rsidRDefault="009E1D7D" w:rsidP="009E1D7D">
            <w:pPr>
              <w:pStyle w:val="ListParagraph"/>
              <w:numPr>
                <w:ilvl w:val="0"/>
                <w:numId w:val="8"/>
              </w:numPr>
              <w:spacing w:after="120"/>
              <w:jc w:val="both"/>
              <w:rPr>
                <w:rFonts w:cstheme="minorHAnsi"/>
                <w:b/>
                <w:szCs w:val="24"/>
              </w:rPr>
            </w:pPr>
            <w:r w:rsidRPr="00467803">
              <w:rPr>
                <w:rFonts w:cstheme="minorHAnsi"/>
                <w:b/>
                <w:szCs w:val="24"/>
              </w:rPr>
              <w:t>Transformation of the Federal Electricity Commission (CFE) into a State-owned Company</w:t>
            </w:r>
          </w:p>
          <w:p w:rsidR="009E1D7D" w:rsidRPr="00467803" w:rsidRDefault="009E1D7D" w:rsidP="009E1D7D">
            <w:pPr>
              <w:spacing w:after="120"/>
              <w:jc w:val="both"/>
              <w:rPr>
                <w:rFonts w:cstheme="minorHAnsi"/>
                <w:szCs w:val="24"/>
                <w:lang w:val="en-US"/>
              </w:rPr>
            </w:pPr>
            <w:r w:rsidRPr="00467803">
              <w:rPr>
                <w:rFonts w:cstheme="minorHAnsi"/>
                <w:szCs w:val="24"/>
                <w:lang w:val="en-US"/>
              </w:rPr>
              <w:t>In compliance with the Constitutional Reform in Energy and the Federal Electricity Commission Law (published on August 11, 2014), the CFE will have a special regime that will give it operational and organizational flexibility.</w:t>
            </w:r>
          </w:p>
          <w:p w:rsidR="009E1D7D" w:rsidRPr="00467803" w:rsidRDefault="009E1D7D" w:rsidP="009E1D7D">
            <w:pPr>
              <w:jc w:val="both"/>
              <w:rPr>
                <w:rFonts w:cstheme="minorHAnsi"/>
                <w:szCs w:val="24"/>
                <w:lang w:val="en-US"/>
              </w:rPr>
            </w:pPr>
            <w:r>
              <w:rPr>
                <w:rFonts w:cstheme="minorHAnsi"/>
                <w:szCs w:val="24"/>
                <w:lang w:val="en-US"/>
              </w:rPr>
              <w:t>On F</w:t>
            </w:r>
            <w:r w:rsidRPr="00467803">
              <w:rPr>
                <w:rFonts w:cstheme="minorHAnsi"/>
                <w:szCs w:val="24"/>
                <w:lang w:val="en-US"/>
              </w:rPr>
              <w:t>ebruary 16, 2015 the CFE became a State-owned Company. This company has now a corporate governance similar to a private company, its contracting scheme is flexible and has autonomy due to a special regime of budget, debt, acquisitions, leases, services, works, administrative responsibilities, goods and wages.</w:t>
            </w:r>
          </w:p>
          <w:p w:rsidR="009E1D7D" w:rsidRDefault="009E1D7D" w:rsidP="009E1D7D">
            <w:pPr>
              <w:jc w:val="both"/>
              <w:rPr>
                <w:rFonts w:cstheme="minorHAnsi"/>
                <w:szCs w:val="24"/>
                <w:lang w:val="en-US"/>
              </w:rPr>
            </w:pPr>
            <w:r w:rsidRPr="00467803">
              <w:rPr>
                <w:rFonts w:cstheme="minorHAnsi"/>
                <w:szCs w:val="24"/>
                <w:lang w:val="en-US"/>
              </w:rPr>
              <w:t xml:space="preserve">The Energy Reform gave CFE tools for its evolution from an electricity company to an energy company. Therefore, on November 12, 2015, the CFE received the permission from the CRE for its new subsidiary CFEnergía S.A. de C.V., which will perform </w:t>
            </w:r>
            <w:r>
              <w:rPr>
                <w:rFonts w:cstheme="minorHAnsi"/>
                <w:szCs w:val="24"/>
                <w:lang w:val="en-US"/>
              </w:rPr>
              <w:t>the supply of</w:t>
            </w:r>
            <w:r w:rsidRPr="00467803">
              <w:rPr>
                <w:rFonts w:cstheme="minorHAnsi"/>
                <w:szCs w:val="24"/>
                <w:lang w:val="en-US"/>
              </w:rPr>
              <w:t xml:space="preserve"> natural gas, fuel oil and diesel. The subsidiary seeks to optimize the fuel supply chain of CFE and improve the capacity to transport natural gas, as well as the storage of liquid fuels in order to make more efficient the processes of electricity generation.</w:t>
            </w:r>
          </w:p>
          <w:p w:rsidR="009E1D7D" w:rsidRDefault="009E1D7D" w:rsidP="009E1D7D">
            <w:pPr>
              <w:jc w:val="both"/>
              <w:rPr>
                <w:rFonts w:cstheme="minorHAnsi"/>
                <w:szCs w:val="24"/>
                <w:lang w:val="en-US"/>
              </w:rPr>
            </w:pPr>
          </w:p>
          <w:p w:rsidR="009E1D7D" w:rsidRPr="00467803" w:rsidRDefault="009E1D7D" w:rsidP="009E1D7D">
            <w:pPr>
              <w:pStyle w:val="ListParagraph"/>
              <w:numPr>
                <w:ilvl w:val="0"/>
                <w:numId w:val="8"/>
              </w:numPr>
              <w:spacing w:after="120"/>
              <w:jc w:val="both"/>
              <w:rPr>
                <w:rFonts w:cstheme="minorHAnsi"/>
                <w:b/>
                <w:szCs w:val="24"/>
              </w:rPr>
            </w:pPr>
            <w:r w:rsidRPr="00467803">
              <w:rPr>
                <w:rFonts w:cstheme="minorHAnsi"/>
                <w:b/>
                <w:szCs w:val="24"/>
              </w:rPr>
              <w:t>Opening of the segments of generation and supply to competition.</w:t>
            </w:r>
          </w:p>
          <w:p w:rsidR="009E1D7D" w:rsidRPr="00467803" w:rsidRDefault="009E1D7D" w:rsidP="009E1D7D">
            <w:pPr>
              <w:spacing w:after="120"/>
              <w:jc w:val="both"/>
              <w:rPr>
                <w:rFonts w:cstheme="minorHAnsi"/>
                <w:szCs w:val="24"/>
                <w:lang w:val="en-US"/>
              </w:rPr>
            </w:pPr>
            <w:r w:rsidRPr="00467803">
              <w:rPr>
                <w:rFonts w:cstheme="minorHAnsi"/>
                <w:szCs w:val="24"/>
                <w:lang w:val="en-US"/>
              </w:rPr>
              <w:t xml:space="preserve">In order to encourage and increase the investment in the electricity sector, the Constitutional Reform in Energy ensures the open and not discriminatory access to electricity networks. It also includes the </w:t>
            </w:r>
            <w:r w:rsidRPr="00467803">
              <w:rPr>
                <w:rFonts w:cstheme="minorHAnsi"/>
                <w:szCs w:val="24"/>
                <w:lang w:val="en-US"/>
              </w:rPr>
              <w:lastRenderedPageBreak/>
              <w:t>vertical and horizontal separation of CFE to prevent it from incurring in</w:t>
            </w:r>
            <w:r>
              <w:rPr>
                <w:rFonts w:cstheme="minorHAnsi"/>
                <w:szCs w:val="24"/>
                <w:lang w:val="en-US"/>
              </w:rPr>
              <w:t xml:space="preserve"> anticompetitive practices. One</w:t>
            </w:r>
            <w:r w:rsidRPr="00467803">
              <w:rPr>
                <w:rFonts w:cstheme="minorHAnsi"/>
                <w:szCs w:val="24"/>
                <w:lang w:val="en-US"/>
              </w:rPr>
              <w:t xml:space="preserve"> of the fundamental steps to ensure the open and not discriminatory access to the national transmission grid and the electric power distribution grids, is the issue of clear and simple procedures to achieve the interconnection (and connection) to the National Electric Grid.</w:t>
            </w:r>
          </w:p>
          <w:p w:rsidR="009E1D7D" w:rsidRPr="00467803" w:rsidRDefault="009E1D7D" w:rsidP="009E1D7D">
            <w:pPr>
              <w:jc w:val="both"/>
              <w:rPr>
                <w:rFonts w:cstheme="minorHAnsi"/>
                <w:szCs w:val="24"/>
                <w:lang w:val="en-US"/>
              </w:rPr>
            </w:pPr>
            <w:r w:rsidRPr="00467803">
              <w:rPr>
                <w:rFonts w:cstheme="minorHAnsi"/>
                <w:szCs w:val="24"/>
                <w:lang w:val="en-US"/>
              </w:rPr>
              <w:t>In order to promote the competition in the sector, on June 2, 2015 the CENACE published in the Federal Official Gazette the “Criteria that establish the specific characteristics of the infrastructure required for the interconnection of power plants and the connection of cargo centers”, which will promote the open competition in the electricity sector.</w:t>
            </w:r>
          </w:p>
          <w:p w:rsidR="009E1D7D" w:rsidRPr="00467803" w:rsidRDefault="009E1D7D" w:rsidP="009E1D7D">
            <w:pPr>
              <w:jc w:val="both"/>
              <w:rPr>
                <w:rFonts w:cstheme="minorHAnsi"/>
                <w:szCs w:val="24"/>
                <w:lang w:val="en-US"/>
              </w:rPr>
            </w:pPr>
            <w:r w:rsidRPr="00467803">
              <w:rPr>
                <w:rFonts w:cstheme="minorHAnsi"/>
                <w:szCs w:val="24"/>
                <w:lang w:val="en-US"/>
              </w:rPr>
              <w:t xml:space="preserve"> Some of the basic requirements established by the Law are that the generation, transmission, distribution and </w:t>
            </w:r>
            <w:r>
              <w:rPr>
                <w:rFonts w:cstheme="minorHAnsi"/>
                <w:szCs w:val="24"/>
                <w:lang w:val="en-US"/>
              </w:rPr>
              <w:t>supply</w:t>
            </w:r>
            <w:r w:rsidRPr="00467803">
              <w:rPr>
                <w:rFonts w:cstheme="minorHAnsi"/>
                <w:szCs w:val="24"/>
                <w:lang w:val="en-US"/>
              </w:rPr>
              <w:t xml:space="preserve"> must observe a strict legal vertical separation; that the generation should observe a legal horizontal, in different business units that promote the efficient operation of the sector; and that the distribution should observe a horizontal separation by region.</w:t>
            </w:r>
          </w:p>
          <w:p w:rsidR="009E1D7D" w:rsidRPr="00467803" w:rsidRDefault="009E1D7D" w:rsidP="009E1D7D">
            <w:pPr>
              <w:jc w:val="both"/>
              <w:rPr>
                <w:rFonts w:cstheme="minorHAnsi"/>
                <w:szCs w:val="24"/>
                <w:lang w:val="en-US"/>
              </w:rPr>
            </w:pPr>
            <w:r w:rsidRPr="00467803">
              <w:rPr>
                <w:rFonts w:cstheme="minorHAnsi"/>
                <w:szCs w:val="24"/>
                <w:lang w:val="en-US"/>
              </w:rPr>
              <w:t>In this regard, the Ministry of Energy published on January 11, 2016 in the Federal Official Gazette the “Terms for the strict legal separation of the Federal Electricity Commission”. It contains the restructuring of the National Electricity System, because it establishes the initial conditions of competition and concentration in the segments of generation and supply. Furthermore, it is the key to improve the management of the transmission and distribution segments, which continue corresponding exclusively to the Nation.</w:t>
            </w:r>
          </w:p>
          <w:p w:rsidR="009E1D7D" w:rsidRPr="00467803" w:rsidRDefault="009E1D7D" w:rsidP="009E1D7D">
            <w:pPr>
              <w:jc w:val="both"/>
              <w:rPr>
                <w:rFonts w:cstheme="minorHAnsi"/>
                <w:szCs w:val="24"/>
                <w:lang w:val="en-US"/>
              </w:rPr>
            </w:pPr>
            <w:r w:rsidRPr="00467803">
              <w:rPr>
                <w:rFonts w:cstheme="minorHAnsi"/>
                <w:szCs w:val="24"/>
                <w:lang w:val="en-US"/>
              </w:rPr>
              <w:t xml:space="preserve"> The implementation of this legal framework will enable competition and more investments in the generation and supply segments, which will result in more competitive electricity rates.</w:t>
            </w:r>
          </w:p>
          <w:p w:rsidR="009E1D7D" w:rsidRPr="00467803" w:rsidRDefault="009E1D7D" w:rsidP="009E1D7D">
            <w:pPr>
              <w:jc w:val="both"/>
              <w:rPr>
                <w:rFonts w:cstheme="minorHAnsi"/>
                <w:szCs w:val="24"/>
                <w:lang w:val="en-US"/>
              </w:rPr>
            </w:pPr>
            <w:r w:rsidRPr="00467803">
              <w:rPr>
                <w:rFonts w:cstheme="minorHAnsi"/>
                <w:szCs w:val="24"/>
                <w:lang w:val="en-US"/>
              </w:rPr>
              <w:t>Moreover, it establishes the foundations for the participation of private companies in the segments of transmission and distribution, which will help to reduce the losses of energy in the grids and will generate a decrease in the operating costs.</w:t>
            </w:r>
          </w:p>
          <w:p w:rsidR="009E1D7D" w:rsidRPr="00467803" w:rsidRDefault="009E1D7D" w:rsidP="009E1D7D">
            <w:pPr>
              <w:pStyle w:val="NoSpacing"/>
              <w:jc w:val="both"/>
              <w:rPr>
                <w:rFonts w:asciiTheme="minorHAnsi" w:eastAsiaTheme="minorHAnsi" w:hAnsiTheme="minorHAnsi" w:cstheme="minorHAnsi"/>
                <w:szCs w:val="24"/>
                <w:lang w:val="en-US"/>
              </w:rPr>
            </w:pPr>
          </w:p>
          <w:p w:rsidR="009E1D7D" w:rsidRPr="00467803" w:rsidRDefault="009E1D7D" w:rsidP="009E1D7D">
            <w:pPr>
              <w:pStyle w:val="NoSpacing"/>
              <w:numPr>
                <w:ilvl w:val="0"/>
                <w:numId w:val="8"/>
              </w:numPr>
              <w:spacing w:after="120"/>
              <w:jc w:val="both"/>
              <w:rPr>
                <w:rFonts w:asciiTheme="minorHAnsi" w:eastAsiaTheme="minorHAnsi" w:hAnsiTheme="minorHAnsi" w:cstheme="minorHAnsi"/>
                <w:b/>
                <w:szCs w:val="24"/>
                <w:lang w:val="en-US"/>
              </w:rPr>
            </w:pPr>
            <w:r w:rsidRPr="00467803">
              <w:rPr>
                <w:rFonts w:asciiTheme="minorHAnsi" w:eastAsiaTheme="minorHAnsi" w:hAnsiTheme="minorHAnsi" w:cstheme="minorHAnsi"/>
                <w:b/>
                <w:szCs w:val="24"/>
                <w:lang w:val="en-US"/>
              </w:rPr>
              <w:t>Issuance of regulations</w:t>
            </w:r>
          </w:p>
          <w:p w:rsidR="009E1D7D" w:rsidRDefault="009E1D7D" w:rsidP="009E1D7D">
            <w:pPr>
              <w:pStyle w:val="NoSpacing"/>
              <w:spacing w:after="120"/>
              <w:jc w:val="both"/>
              <w:rPr>
                <w:rFonts w:asciiTheme="minorHAnsi" w:eastAsiaTheme="minorHAnsi" w:hAnsiTheme="minorHAnsi" w:cstheme="minorHAnsi"/>
                <w:szCs w:val="24"/>
                <w:lang w:val="en-US"/>
              </w:rPr>
            </w:pPr>
            <w:r w:rsidRPr="00467803">
              <w:rPr>
                <w:rFonts w:asciiTheme="minorHAnsi" w:eastAsiaTheme="minorHAnsi" w:hAnsiTheme="minorHAnsi" w:cstheme="minorHAnsi"/>
                <w:szCs w:val="24"/>
                <w:lang w:val="en-US"/>
              </w:rPr>
              <w:t>The Electric Industry Law Regulations, the Geothermal Energy Law Regulations and the Federal Electricity Commission Law Regulations were published in the Federal Official Gazette on October 31, 2014.</w:t>
            </w:r>
          </w:p>
          <w:p w:rsidR="009E1D7D" w:rsidRDefault="009E1D7D" w:rsidP="009E1D7D">
            <w:pPr>
              <w:pStyle w:val="NoSpacing"/>
              <w:spacing w:after="120"/>
              <w:jc w:val="both"/>
              <w:rPr>
                <w:rFonts w:asciiTheme="minorHAnsi" w:eastAsiaTheme="minorHAnsi" w:hAnsiTheme="minorHAnsi" w:cstheme="minorHAnsi"/>
                <w:szCs w:val="24"/>
                <w:lang w:val="en-US"/>
              </w:rPr>
            </w:pPr>
          </w:p>
          <w:p w:rsidR="009E1D7D" w:rsidRPr="00467803" w:rsidRDefault="009E1D7D" w:rsidP="009E1D7D">
            <w:pPr>
              <w:pStyle w:val="NoSpacing"/>
              <w:numPr>
                <w:ilvl w:val="0"/>
                <w:numId w:val="8"/>
              </w:numPr>
              <w:spacing w:after="120"/>
              <w:jc w:val="both"/>
              <w:rPr>
                <w:rFonts w:asciiTheme="minorHAnsi" w:eastAsiaTheme="minorHAnsi" w:hAnsiTheme="minorHAnsi" w:cstheme="minorHAnsi"/>
                <w:b/>
                <w:szCs w:val="24"/>
                <w:lang w:val="en-US"/>
              </w:rPr>
            </w:pPr>
            <w:r w:rsidRPr="00467803">
              <w:rPr>
                <w:rFonts w:asciiTheme="minorHAnsi" w:eastAsiaTheme="minorHAnsi" w:hAnsiTheme="minorHAnsi" w:cstheme="minorHAnsi"/>
                <w:b/>
                <w:szCs w:val="24"/>
                <w:lang w:val="en-US"/>
              </w:rPr>
              <w:t>Development Program of the National Electricity System 2015-2029 (PRODESEN)</w:t>
            </w:r>
          </w:p>
          <w:p w:rsidR="009E1D7D" w:rsidRPr="00467803" w:rsidRDefault="009E1D7D" w:rsidP="009E1D7D">
            <w:pPr>
              <w:pStyle w:val="NoSpacing"/>
              <w:spacing w:after="120"/>
              <w:jc w:val="both"/>
              <w:rPr>
                <w:rFonts w:asciiTheme="minorHAnsi" w:eastAsiaTheme="minorHAnsi" w:hAnsiTheme="minorHAnsi" w:cstheme="minorHAnsi"/>
                <w:szCs w:val="24"/>
                <w:lang w:val="en-US"/>
              </w:rPr>
            </w:pPr>
            <w:r w:rsidRPr="00467803">
              <w:rPr>
                <w:rFonts w:asciiTheme="minorHAnsi" w:eastAsiaTheme="minorHAnsi" w:hAnsiTheme="minorHAnsi" w:cstheme="minorHAnsi"/>
                <w:szCs w:val="24"/>
                <w:lang w:val="en-US"/>
              </w:rPr>
              <w:t>The Development Program of the National Electricity System 2015-2029 (PRODESEN) was published in the web pag</w:t>
            </w:r>
            <w:r>
              <w:rPr>
                <w:rFonts w:asciiTheme="minorHAnsi" w:eastAsiaTheme="minorHAnsi" w:hAnsiTheme="minorHAnsi" w:cstheme="minorHAnsi"/>
                <w:szCs w:val="24"/>
                <w:lang w:val="en-US"/>
              </w:rPr>
              <w:t>e of the Ministry of Energy on J</w:t>
            </w:r>
            <w:r w:rsidRPr="00467803">
              <w:rPr>
                <w:rFonts w:asciiTheme="minorHAnsi" w:eastAsiaTheme="minorHAnsi" w:hAnsiTheme="minorHAnsi" w:cstheme="minorHAnsi"/>
                <w:szCs w:val="24"/>
                <w:lang w:val="en-US"/>
              </w:rPr>
              <w:t>une 30, 2015.</w:t>
            </w:r>
          </w:p>
          <w:p w:rsidR="009E1D7D" w:rsidRPr="00467803" w:rsidRDefault="009E1D7D" w:rsidP="009E1D7D">
            <w:pPr>
              <w:pStyle w:val="NoSpacing"/>
              <w:spacing w:after="120"/>
              <w:jc w:val="both"/>
              <w:rPr>
                <w:rFonts w:asciiTheme="minorHAnsi" w:eastAsiaTheme="minorHAnsi" w:hAnsiTheme="minorHAnsi" w:cstheme="minorHAnsi"/>
                <w:szCs w:val="24"/>
                <w:lang w:val="en-US"/>
              </w:rPr>
            </w:pPr>
            <w:r w:rsidRPr="00467803">
              <w:rPr>
                <w:rFonts w:asciiTheme="minorHAnsi" w:eastAsiaTheme="minorHAnsi" w:hAnsiTheme="minorHAnsi" w:cstheme="minorHAnsi"/>
                <w:szCs w:val="24"/>
                <w:lang w:val="en-US"/>
              </w:rPr>
              <w:t>The PRODESEN is a reference document for the decision-making of the members of the electricity sector about the generation, transmission and distribution of electricity. It aims to guide a productive investment in electric infrastructure in order to meet the demand.</w:t>
            </w:r>
          </w:p>
          <w:p w:rsidR="009E1D7D" w:rsidRPr="00467803" w:rsidRDefault="009E1D7D" w:rsidP="009E1D7D">
            <w:pPr>
              <w:pStyle w:val="NoSpacing"/>
              <w:spacing w:after="120"/>
              <w:jc w:val="both"/>
              <w:rPr>
                <w:rFonts w:asciiTheme="minorHAnsi" w:eastAsiaTheme="minorHAnsi" w:hAnsiTheme="minorHAnsi" w:cstheme="minorHAnsi"/>
                <w:szCs w:val="24"/>
                <w:lang w:val="en-US"/>
              </w:rPr>
            </w:pPr>
            <w:r w:rsidRPr="00467803">
              <w:rPr>
                <w:rFonts w:asciiTheme="minorHAnsi" w:eastAsiaTheme="minorHAnsi" w:hAnsiTheme="minorHAnsi" w:cstheme="minorHAnsi"/>
                <w:szCs w:val="24"/>
                <w:lang w:val="en-US"/>
              </w:rPr>
              <w:t>The document incorporates relevant aspects of the following programs:</w:t>
            </w:r>
          </w:p>
          <w:p w:rsidR="009E1D7D" w:rsidRPr="00467803" w:rsidRDefault="009E1D7D" w:rsidP="009E1D7D">
            <w:pPr>
              <w:pStyle w:val="NoSpacing"/>
              <w:spacing w:after="120"/>
              <w:ind w:left="384"/>
              <w:jc w:val="both"/>
              <w:rPr>
                <w:rFonts w:asciiTheme="minorHAnsi" w:eastAsiaTheme="minorHAnsi" w:hAnsiTheme="minorHAnsi" w:cstheme="minorHAnsi"/>
                <w:szCs w:val="24"/>
                <w:lang w:val="en-US"/>
              </w:rPr>
            </w:pPr>
            <w:r>
              <w:rPr>
                <w:rFonts w:asciiTheme="minorHAnsi" w:eastAsiaTheme="minorHAnsi" w:hAnsiTheme="minorHAnsi" w:cstheme="minorHAnsi"/>
                <w:szCs w:val="24"/>
                <w:lang w:val="en-US"/>
              </w:rPr>
              <w:t xml:space="preserve">a) </w:t>
            </w:r>
            <w:r w:rsidRPr="00467803">
              <w:rPr>
                <w:rFonts w:asciiTheme="minorHAnsi" w:eastAsiaTheme="minorHAnsi" w:hAnsiTheme="minorHAnsi" w:cstheme="minorHAnsi"/>
                <w:szCs w:val="24"/>
                <w:lang w:val="en-US"/>
              </w:rPr>
              <w:t>Installation and removal of power plants;</w:t>
            </w:r>
          </w:p>
          <w:p w:rsidR="009E1D7D" w:rsidRDefault="009E1D7D" w:rsidP="009E1D7D">
            <w:pPr>
              <w:pStyle w:val="NoSpacing"/>
              <w:spacing w:after="120"/>
              <w:ind w:left="384"/>
              <w:jc w:val="both"/>
              <w:rPr>
                <w:rFonts w:asciiTheme="minorHAnsi" w:eastAsiaTheme="minorHAnsi" w:hAnsiTheme="minorHAnsi" w:cstheme="minorHAnsi"/>
                <w:szCs w:val="24"/>
                <w:lang w:val="en-US"/>
              </w:rPr>
            </w:pPr>
            <w:r>
              <w:rPr>
                <w:rFonts w:asciiTheme="minorHAnsi" w:eastAsiaTheme="minorHAnsi" w:hAnsiTheme="minorHAnsi" w:cstheme="minorHAnsi"/>
                <w:szCs w:val="24"/>
                <w:lang w:val="en-US"/>
              </w:rPr>
              <w:t xml:space="preserve">b) </w:t>
            </w:r>
            <w:r w:rsidRPr="00467803">
              <w:rPr>
                <w:rFonts w:asciiTheme="minorHAnsi" w:eastAsiaTheme="minorHAnsi" w:hAnsiTheme="minorHAnsi" w:cstheme="minorHAnsi"/>
                <w:szCs w:val="24"/>
                <w:lang w:val="en-US"/>
              </w:rPr>
              <w:t>Expansion and modernization of the National Transmission Network and the General Distribution Networks.</w:t>
            </w:r>
          </w:p>
          <w:p w:rsidR="009E1D7D" w:rsidRDefault="009E1D7D" w:rsidP="009E1D7D">
            <w:pPr>
              <w:pStyle w:val="NoSpacing"/>
              <w:spacing w:after="120"/>
              <w:ind w:left="384"/>
              <w:jc w:val="both"/>
              <w:rPr>
                <w:rFonts w:asciiTheme="minorHAnsi" w:eastAsiaTheme="minorHAnsi" w:hAnsiTheme="minorHAnsi" w:cstheme="minorHAnsi"/>
                <w:szCs w:val="24"/>
                <w:lang w:val="en-US"/>
              </w:rPr>
            </w:pPr>
          </w:p>
          <w:p w:rsidR="009E1D7D" w:rsidRPr="00467803" w:rsidRDefault="009E1D7D" w:rsidP="009E1D7D">
            <w:pPr>
              <w:pStyle w:val="NoSpacing"/>
              <w:numPr>
                <w:ilvl w:val="0"/>
                <w:numId w:val="8"/>
              </w:numPr>
              <w:spacing w:after="120"/>
              <w:jc w:val="both"/>
              <w:rPr>
                <w:rFonts w:asciiTheme="minorHAnsi" w:eastAsiaTheme="minorHAnsi" w:hAnsiTheme="minorHAnsi" w:cstheme="minorHAnsi"/>
                <w:b/>
                <w:szCs w:val="24"/>
                <w:lang w:val="en-US"/>
              </w:rPr>
            </w:pPr>
            <w:r w:rsidRPr="00467803">
              <w:rPr>
                <w:rFonts w:asciiTheme="minorHAnsi" w:eastAsiaTheme="minorHAnsi" w:hAnsiTheme="minorHAnsi" w:cstheme="minorHAnsi"/>
                <w:b/>
                <w:szCs w:val="24"/>
                <w:lang w:val="en-US"/>
              </w:rPr>
              <w:t>Institutionalization of a sys</w:t>
            </w:r>
            <w:r>
              <w:rPr>
                <w:rFonts w:asciiTheme="minorHAnsi" w:eastAsiaTheme="minorHAnsi" w:hAnsiTheme="minorHAnsi" w:cstheme="minorHAnsi"/>
                <w:b/>
                <w:szCs w:val="24"/>
                <w:lang w:val="en-US"/>
              </w:rPr>
              <w:t>tem of social impact assessment</w:t>
            </w:r>
          </w:p>
          <w:p w:rsidR="009E1D7D" w:rsidRPr="00467803" w:rsidRDefault="009E1D7D" w:rsidP="009E1D7D">
            <w:pPr>
              <w:pStyle w:val="NoSpacing"/>
              <w:spacing w:after="120"/>
              <w:jc w:val="both"/>
              <w:rPr>
                <w:rFonts w:asciiTheme="minorHAnsi" w:eastAsiaTheme="minorHAnsi" w:hAnsiTheme="minorHAnsi" w:cstheme="minorHAnsi"/>
                <w:szCs w:val="24"/>
                <w:lang w:val="en-US"/>
              </w:rPr>
            </w:pPr>
            <w:r w:rsidRPr="00467803">
              <w:rPr>
                <w:rFonts w:asciiTheme="minorHAnsi" w:eastAsiaTheme="minorHAnsi" w:hAnsiTheme="minorHAnsi" w:cstheme="minorHAnsi"/>
                <w:szCs w:val="24"/>
                <w:lang w:val="en-US"/>
              </w:rPr>
              <w:t>This system should allow the development of electricity infrastructure in full respect of the rights of indigenous communities.</w:t>
            </w:r>
          </w:p>
          <w:p w:rsidR="009E1D7D" w:rsidRDefault="009E1D7D" w:rsidP="009E1D7D">
            <w:pPr>
              <w:spacing w:line="252" w:lineRule="auto"/>
              <w:jc w:val="both"/>
              <w:rPr>
                <w:sz w:val="24"/>
                <w:szCs w:val="24"/>
                <w:lang w:val="en-AU"/>
              </w:rPr>
            </w:pPr>
            <w:r w:rsidRPr="00467803">
              <w:rPr>
                <w:rFonts w:asciiTheme="minorHAnsi" w:hAnsiTheme="minorHAnsi" w:cstheme="minorHAnsi"/>
                <w:szCs w:val="24"/>
                <w:lang w:val="en-US"/>
              </w:rPr>
              <w:t xml:space="preserve">The draft of the “General Administrative Provisions about the Social Impact Assesment in the Energy Sector” was published on March 6, 2015. Its goal is to provide the allottees, contractors or anyone interested in obtaining a permit or authorization for the development of a project in the energy sector, a guide with the minimum and essential elements for the preparation and presentation of the manifestation of social impact, as well as the procedural elements that </w:t>
            </w:r>
            <w:r w:rsidRPr="00467803">
              <w:rPr>
                <w:rFonts w:asciiTheme="minorHAnsi" w:hAnsiTheme="minorHAnsi" w:cstheme="minorHAnsi"/>
                <w:szCs w:val="24"/>
                <w:lang w:val="en-US"/>
              </w:rPr>
              <w:lastRenderedPageBreak/>
              <w:t>the Ministry of Energy will observe for review, opinion, resolution and tracking.</w:t>
            </w:r>
          </w:p>
          <w:p w:rsidR="00DD431D" w:rsidRDefault="00DD431D" w:rsidP="00DD431D">
            <w:pPr>
              <w:spacing w:line="252" w:lineRule="auto"/>
              <w:jc w:val="both"/>
              <w:rPr>
                <w:color w:val="1F497D"/>
                <w:sz w:val="24"/>
                <w:szCs w:val="24"/>
                <w:lang w:val="en-US"/>
              </w:rPr>
            </w:pPr>
          </w:p>
          <w:p w:rsidR="00DD431D" w:rsidRDefault="00DD431D" w:rsidP="00DD431D">
            <w:pPr>
              <w:spacing w:line="252" w:lineRule="auto"/>
              <w:jc w:val="both"/>
              <w:rPr>
                <w:sz w:val="24"/>
                <w:szCs w:val="24"/>
                <w:lang w:val="en-US"/>
              </w:rPr>
            </w:pPr>
          </w:p>
        </w:tc>
        <w:tc>
          <w:tcPr>
            <w:tcW w:w="168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D431D" w:rsidRDefault="00DD431D" w:rsidP="00DD431D">
            <w:pPr>
              <w:spacing w:line="252" w:lineRule="auto"/>
              <w:jc w:val="both"/>
              <w:rPr>
                <w:b/>
                <w:bCs/>
                <w:sz w:val="24"/>
                <w:szCs w:val="24"/>
                <w:lang w:val="en-US"/>
              </w:rPr>
            </w:pPr>
            <w:r>
              <w:rPr>
                <w:b/>
                <w:bCs/>
                <w:sz w:val="24"/>
                <w:szCs w:val="24"/>
                <w:lang w:val="en-US"/>
              </w:rPr>
              <w:lastRenderedPageBreak/>
              <w:t>Reliability and expansion of the national grid</w:t>
            </w:r>
          </w:p>
          <w:p w:rsidR="00DD431D" w:rsidRDefault="00DD431D" w:rsidP="00DD431D">
            <w:pPr>
              <w:spacing w:line="252" w:lineRule="auto"/>
              <w:jc w:val="both"/>
              <w:rPr>
                <w:sz w:val="24"/>
                <w:szCs w:val="24"/>
                <w:lang w:val="en-US"/>
              </w:rPr>
            </w:pPr>
          </w:p>
          <w:p w:rsidR="00DD431D" w:rsidRDefault="00DD431D" w:rsidP="00DD431D">
            <w:pPr>
              <w:spacing w:line="252" w:lineRule="auto"/>
              <w:jc w:val="both"/>
              <w:rPr>
                <w:sz w:val="24"/>
                <w:szCs w:val="24"/>
                <w:lang w:val="en-US"/>
              </w:rPr>
            </w:pPr>
            <w:r>
              <w:rPr>
                <w:sz w:val="24"/>
                <w:szCs w:val="24"/>
                <w:lang w:val="en-US"/>
              </w:rPr>
              <w:t>The following work will be done during 2016:</w:t>
            </w:r>
          </w:p>
          <w:p w:rsidR="00DD431D" w:rsidRDefault="00DD431D" w:rsidP="00DD431D">
            <w:pPr>
              <w:spacing w:line="252" w:lineRule="auto"/>
              <w:jc w:val="both"/>
              <w:rPr>
                <w:sz w:val="24"/>
                <w:szCs w:val="24"/>
                <w:lang w:val="en-US"/>
              </w:rPr>
            </w:pPr>
          </w:p>
          <w:p w:rsidR="00DD431D" w:rsidRDefault="00DD431D" w:rsidP="00DD431D">
            <w:pPr>
              <w:numPr>
                <w:ilvl w:val="0"/>
                <w:numId w:val="4"/>
              </w:numPr>
              <w:spacing w:line="252" w:lineRule="auto"/>
              <w:ind w:left="431"/>
              <w:jc w:val="both"/>
              <w:rPr>
                <w:rFonts w:eastAsia="Times New Roman"/>
                <w:sz w:val="24"/>
                <w:szCs w:val="24"/>
                <w:lang w:val="en-US"/>
              </w:rPr>
            </w:pPr>
            <w:r>
              <w:rPr>
                <w:rFonts w:eastAsia="Times New Roman"/>
                <w:sz w:val="24"/>
                <w:szCs w:val="24"/>
                <w:lang w:val="en-US"/>
              </w:rPr>
              <w:t>Methodology for evaluating the net benefit of the Grid Expansion Programs. It will be officially published during the first half of 2016.</w:t>
            </w:r>
          </w:p>
          <w:p w:rsidR="00DD431D" w:rsidRDefault="00DD431D" w:rsidP="00DD431D">
            <w:pPr>
              <w:numPr>
                <w:ilvl w:val="0"/>
                <w:numId w:val="4"/>
              </w:numPr>
              <w:spacing w:line="252" w:lineRule="auto"/>
              <w:ind w:left="431"/>
              <w:jc w:val="both"/>
              <w:rPr>
                <w:rFonts w:eastAsia="Times New Roman"/>
                <w:sz w:val="24"/>
                <w:szCs w:val="24"/>
                <w:lang w:val="en-US"/>
              </w:rPr>
            </w:pPr>
            <w:r>
              <w:rPr>
                <w:rFonts w:eastAsia="Times New Roman"/>
                <w:sz w:val="24"/>
                <w:szCs w:val="24"/>
                <w:lang w:val="en-US"/>
              </w:rPr>
              <w:t>Signing of an agreement with the North American Electric Reliability Corporation (NERC) and the Western Electricity Coordinating Council (WECC) for elaborating new grid reliability standards in Mexico.</w:t>
            </w:r>
          </w:p>
          <w:p w:rsidR="00DD431D" w:rsidRDefault="00DD431D" w:rsidP="00DD431D">
            <w:pPr>
              <w:spacing w:line="252" w:lineRule="auto"/>
              <w:jc w:val="both"/>
              <w:rPr>
                <w:sz w:val="24"/>
                <w:szCs w:val="24"/>
                <w:lang w:val="en-US"/>
              </w:rPr>
            </w:pPr>
          </w:p>
          <w:p w:rsidR="00DD431D" w:rsidRDefault="00DD431D" w:rsidP="00DD431D">
            <w:pPr>
              <w:spacing w:line="252" w:lineRule="auto"/>
              <w:jc w:val="both"/>
              <w:rPr>
                <w:b/>
                <w:bCs/>
                <w:sz w:val="24"/>
                <w:szCs w:val="24"/>
                <w:lang w:val="en-US"/>
              </w:rPr>
            </w:pPr>
            <w:r>
              <w:rPr>
                <w:b/>
                <w:bCs/>
                <w:sz w:val="24"/>
                <w:szCs w:val="24"/>
                <w:lang w:val="en-US"/>
              </w:rPr>
              <w:t>Technical specifications for the grid</w:t>
            </w:r>
          </w:p>
          <w:p w:rsidR="00DD431D" w:rsidRDefault="00DD431D" w:rsidP="00DD431D">
            <w:pPr>
              <w:spacing w:line="252" w:lineRule="auto"/>
              <w:jc w:val="both"/>
              <w:rPr>
                <w:sz w:val="24"/>
                <w:szCs w:val="24"/>
                <w:lang w:val="en-US"/>
              </w:rPr>
            </w:pPr>
          </w:p>
          <w:p w:rsidR="00DD431D" w:rsidRDefault="00DD431D" w:rsidP="00DD431D">
            <w:pPr>
              <w:spacing w:line="252" w:lineRule="auto"/>
              <w:jc w:val="both"/>
              <w:rPr>
                <w:sz w:val="24"/>
                <w:szCs w:val="24"/>
                <w:lang w:val="en-US"/>
              </w:rPr>
            </w:pPr>
            <w:r>
              <w:rPr>
                <w:sz w:val="24"/>
                <w:szCs w:val="24"/>
                <w:lang w:val="en-US"/>
              </w:rPr>
              <w:t>CRE will issue and publish technical specifications for private networks that must comply with Mexican Official Standards (NOMs) and Mexican Standards (NMXs). CRE will authorize technical specifications proposed by  Mexico's national center for energy control (Cenace by its Spanish Acronym)  for the interconnection of power plants and connection of load centers. Both activities will start in the second half of 2016.</w:t>
            </w:r>
          </w:p>
          <w:p w:rsidR="00DD431D" w:rsidRDefault="00DD431D" w:rsidP="00DD431D">
            <w:pPr>
              <w:spacing w:line="252" w:lineRule="auto"/>
              <w:jc w:val="both"/>
              <w:rPr>
                <w:sz w:val="24"/>
                <w:szCs w:val="24"/>
                <w:lang w:val="en-US"/>
              </w:rPr>
            </w:pPr>
          </w:p>
          <w:p w:rsidR="00DD431D" w:rsidRDefault="00DD431D" w:rsidP="00DD431D">
            <w:pPr>
              <w:spacing w:line="252" w:lineRule="auto"/>
              <w:jc w:val="both"/>
              <w:rPr>
                <w:sz w:val="24"/>
                <w:szCs w:val="24"/>
                <w:lang w:val="en-US"/>
              </w:rPr>
            </w:pPr>
            <w:r>
              <w:rPr>
                <w:sz w:val="24"/>
                <w:szCs w:val="24"/>
                <w:lang w:val="en-US"/>
              </w:rPr>
              <w:t>CRE will issue and officially publish during the first trimester of 2016 the Contract Models for the Interconnection of Power Plants, Connection of Load Centers and Import of Electricity.</w:t>
            </w:r>
          </w:p>
          <w:p w:rsidR="00DD431D" w:rsidRDefault="00DD431D" w:rsidP="00DD431D">
            <w:pPr>
              <w:spacing w:line="252" w:lineRule="auto"/>
              <w:jc w:val="both"/>
              <w:rPr>
                <w:sz w:val="24"/>
                <w:szCs w:val="24"/>
                <w:lang w:val="en-US"/>
              </w:rPr>
            </w:pPr>
          </w:p>
          <w:p w:rsidR="00DD431D" w:rsidRDefault="00DD431D" w:rsidP="00DD431D">
            <w:pPr>
              <w:spacing w:line="252" w:lineRule="auto"/>
              <w:jc w:val="both"/>
              <w:rPr>
                <w:b/>
                <w:bCs/>
                <w:sz w:val="24"/>
                <w:szCs w:val="24"/>
                <w:lang w:val="en-US"/>
              </w:rPr>
            </w:pPr>
            <w:r>
              <w:rPr>
                <w:b/>
                <w:bCs/>
                <w:sz w:val="24"/>
                <w:szCs w:val="24"/>
                <w:lang w:val="en-US"/>
              </w:rPr>
              <w:t>Smart Grids and Power Quality</w:t>
            </w:r>
          </w:p>
          <w:p w:rsidR="00DD431D" w:rsidRDefault="00DD431D" w:rsidP="00DD431D">
            <w:pPr>
              <w:spacing w:line="252" w:lineRule="auto"/>
              <w:jc w:val="both"/>
              <w:rPr>
                <w:sz w:val="24"/>
                <w:szCs w:val="24"/>
                <w:lang w:val="en-US"/>
              </w:rPr>
            </w:pPr>
          </w:p>
          <w:p w:rsidR="00DD431D" w:rsidRDefault="00DD431D" w:rsidP="00DD431D">
            <w:pPr>
              <w:spacing w:line="252" w:lineRule="auto"/>
              <w:jc w:val="both"/>
              <w:rPr>
                <w:sz w:val="24"/>
                <w:szCs w:val="24"/>
                <w:lang w:val="en-US"/>
              </w:rPr>
            </w:pPr>
            <w:r>
              <w:rPr>
                <w:sz w:val="24"/>
                <w:szCs w:val="24"/>
                <w:lang w:val="en-US"/>
              </w:rPr>
              <w:t>CRE will work on the following activities that will be finished during 2016:</w:t>
            </w:r>
          </w:p>
          <w:p w:rsidR="00DD431D" w:rsidRDefault="00DD431D" w:rsidP="00DD431D">
            <w:pPr>
              <w:spacing w:line="252" w:lineRule="auto"/>
              <w:jc w:val="both"/>
              <w:rPr>
                <w:sz w:val="24"/>
                <w:szCs w:val="24"/>
                <w:lang w:val="en-US"/>
              </w:rPr>
            </w:pPr>
          </w:p>
          <w:p w:rsidR="00DD431D" w:rsidRDefault="00DD431D" w:rsidP="00DD431D">
            <w:pPr>
              <w:numPr>
                <w:ilvl w:val="0"/>
                <w:numId w:val="5"/>
              </w:numPr>
              <w:spacing w:line="252" w:lineRule="auto"/>
              <w:ind w:left="320"/>
              <w:jc w:val="both"/>
              <w:rPr>
                <w:sz w:val="24"/>
                <w:szCs w:val="24"/>
                <w:lang w:val="en-US"/>
              </w:rPr>
            </w:pPr>
            <w:r>
              <w:rPr>
                <w:sz w:val="24"/>
                <w:szCs w:val="24"/>
                <w:lang w:val="en-US"/>
              </w:rPr>
              <w:t>Methodology for Determining the Percentage of Fuel-free Energy in the Clean Energy Power Plants. This Methodology will help determine how many CEL will be granted to Clean Energy Generators using fossil fuels. It will be issued and officially published during the first trimester of 2016.</w:t>
            </w:r>
          </w:p>
          <w:p w:rsidR="00DD431D" w:rsidRDefault="00DD431D" w:rsidP="00DD431D">
            <w:pPr>
              <w:numPr>
                <w:ilvl w:val="0"/>
                <w:numId w:val="5"/>
              </w:numPr>
              <w:spacing w:line="252" w:lineRule="auto"/>
              <w:ind w:left="320"/>
              <w:jc w:val="both"/>
              <w:rPr>
                <w:sz w:val="24"/>
                <w:szCs w:val="24"/>
                <w:lang w:val="en-US"/>
              </w:rPr>
            </w:pPr>
            <w:r>
              <w:rPr>
                <w:sz w:val="24"/>
                <w:szCs w:val="24"/>
                <w:lang w:val="en-US"/>
              </w:rPr>
              <w:t xml:space="preserve">General Administrative Guidelines for Distributed Generation. They will establish definitions, contracts, generation and supply modes, obligations, interconnection requirements and procedures, and energy </w:t>
            </w:r>
            <w:r>
              <w:rPr>
                <w:sz w:val="24"/>
                <w:szCs w:val="24"/>
                <w:lang w:val="en-US"/>
              </w:rPr>
              <w:lastRenderedPageBreak/>
              <w:t>trading related to distributed generation. They will be published  during the first half of 2016.</w:t>
            </w:r>
          </w:p>
          <w:p w:rsidR="00DD431D" w:rsidRDefault="00DD431D" w:rsidP="00DD431D">
            <w:pPr>
              <w:numPr>
                <w:ilvl w:val="0"/>
                <w:numId w:val="5"/>
              </w:numPr>
              <w:spacing w:line="252" w:lineRule="auto"/>
              <w:ind w:left="320"/>
              <w:jc w:val="both"/>
              <w:rPr>
                <w:sz w:val="24"/>
                <w:szCs w:val="24"/>
                <w:lang w:val="en-US"/>
              </w:rPr>
            </w:pPr>
            <w:r>
              <w:rPr>
                <w:sz w:val="24"/>
                <w:szCs w:val="24"/>
                <w:lang w:val="en-US"/>
              </w:rPr>
              <w:t>General Administrative Guidelines for Smart Grids. They will establish the corresponding guidelines for promoting and implementing all activities related to smart grids, as mandated by the Electricity Industry Law and the Energy Transition Law. They will be issued and officially published during the last trimester of 2016.</w:t>
            </w:r>
          </w:p>
          <w:p w:rsidR="00DD431D" w:rsidRDefault="00DD431D" w:rsidP="00DD431D">
            <w:pPr>
              <w:spacing w:line="252" w:lineRule="auto"/>
              <w:ind w:left="320"/>
              <w:jc w:val="both"/>
              <w:rPr>
                <w:sz w:val="24"/>
                <w:szCs w:val="24"/>
                <w:lang w:val="en-US"/>
              </w:rPr>
            </w:pPr>
          </w:p>
          <w:p w:rsidR="00DD431D" w:rsidRDefault="00DD431D" w:rsidP="00DD431D">
            <w:pPr>
              <w:spacing w:line="252" w:lineRule="auto"/>
              <w:jc w:val="both"/>
              <w:rPr>
                <w:sz w:val="24"/>
                <w:szCs w:val="24"/>
                <w:lang w:val="en-US"/>
              </w:rPr>
            </w:pPr>
            <w:r>
              <w:rPr>
                <w:sz w:val="24"/>
                <w:szCs w:val="24"/>
                <w:lang w:val="en-US"/>
              </w:rPr>
              <w:t>CRE published on January 14th, 2016 the Resolution that establishes the minimum requirement that suppliers and qualified users must comply with for procuring power in terms of article 12, fraction XXI from the Electricity Industry Law. The Corrective and Preventive Protocols for Cenace to Procure Power were submitted to Cofemer and will be published during the first trimester of 2016.</w:t>
            </w:r>
          </w:p>
          <w:p w:rsidR="00DD431D" w:rsidRDefault="00DD431D" w:rsidP="00DD431D">
            <w:pPr>
              <w:spacing w:line="252" w:lineRule="auto"/>
              <w:jc w:val="both"/>
              <w:rPr>
                <w:sz w:val="24"/>
                <w:szCs w:val="24"/>
                <w:lang w:val="en-US"/>
              </w:rPr>
            </w:pPr>
          </w:p>
          <w:p w:rsidR="00DD431D" w:rsidRDefault="00DD431D" w:rsidP="00DD431D">
            <w:pPr>
              <w:spacing w:line="252" w:lineRule="auto"/>
              <w:jc w:val="both"/>
              <w:rPr>
                <w:sz w:val="24"/>
                <w:szCs w:val="24"/>
                <w:lang w:val="en-US"/>
              </w:rPr>
            </w:pPr>
            <w:r>
              <w:rPr>
                <w:b/>
                <w:bCs/>
                <w:sz w:val="24"/>
                <w:szCs w:val="24"/>
                <w:lang w:val="en-US"/>
              </w:rPr>
              <w:t>Clean Energy Certificates</w:t>
            </w:r>
          </w:p>
          <w:p w:rsidR="00DD431D" w:rsidRDefault="00DD431D" w:rsidP="00DD431D">
            <w:pPr>
              <w:spacing w:line="252" w:lineRule="auto"/>
              <w:jc w:val="both"/>
              <w:rPr>
                <w:sz w:val="24"/>
                <w:szCs w:val="24"/>
                <w:lang w:val="en-US"/>
              </w:rPr>
            </w:pPr>
          </w:p>
          <w:p w:rsidR="00DD431D" w:rsidRDefault="00DD431D" w:rsidP="00DD431D">
            <w:pPr>
              <w:spacing w:line="252" w:lineRule="auto"/>
              <w:jc w:val="both"/>
              <w:rPr>
                <w:sz w:val="24"/>
                <w:szCs w:val="24"/>
                <w:lang w:val="en-US"/>
              </w:rPr>
            </w:pPr>
            <w:r>
              <w:rPr>
                <w:sz w:val="24"/>
                <w:szCs w:val="24"/>
                <w:lang w:val="en-US"/>
              </w:rPr>
              <w:t>CRE will officially publish two resolutions during the first trimester of 2016:</w:t>
            </w:r>
          </w:p>
          <w:p w:rsidR="00DD431D" w:rsidRDefault="00DD431D" w:rsidP="00DD431D">
            <w:pPr>
              <w:spacing w:line="252" w:lineRule="auto"/>
              <w:jc w:val="both"/>
              <w:rPr>
                <w:sz w:val="24"/>
                <w:szCs w:val="24"/>
                <w:lang w:val="en-US"/>
              </w:rPr>
            </w:pPr>
          </w:p>
          <w:p w:rsidR="00DD431D" w:rsidRDefault="00DD431D" w:rsidP="00DD431D">
            <w:pPr>
              <w:numPr>
                <w:ilvl w:val="0"/>
                <w:numId w:val="2"/>
              </w:numPr>
              <w:spacing w:line="252" w:lineRule="auto"/>
              <w:jc w:val="both"/>
              <w:rPr>
                <w:rFonts w:eastAsia="Times New Roman"/>
                <w:sz w:val="24"/>
                <w:szCs w:val="24"/>
                <w:lang w:val="en-US"/>
              </w:rPr>
            </w:pPr>
            <w:r>
              <w:rPr>
                <w:rFonts w:eastAsia="Times New Roman"/>
                <w:sz w:val="24"/>
                <w:szCs w:val="24"/>
                <w:lang w:val="en-AU"/>
              </w:rPr>
              <w:t>Resolution of the General Administrative Guidelines for the Operation of the System for CEL Management and Clean Energy Obligations Compliance.</w:t>
            </w:r>
          </w:p>
          <w:p w:rsidR="00DD431D" w:rsidRDefault="00DD431D" w:rsidP="00DD431D">
            <w:pPr>
              <w:numPr>
                <w:ilvl w:val="0"/>
                <w:numId w:val="2"/>
              </w:numPr>
              <w:spacing w:line="252" w:lineRule="auto"/>
              <w:jc w:val="both"/>
              <w:rPr>
                <w:rFonts w:eastAsia="Times New Roman"/>
                <w:sz w:val="24"/>
                <w:szCs w:val="24"/>
                <w:lang w:val="en-US"/>
              </w:rPr>
            </w:pPr>
            <w:r>
              <w:rPr>
                <w:rFonts w:eastAsia="Times New Roman"/>
                <w:sz w:val="24"/>
                <w:szCs w:val="24"/>
                <w:lang w:val="en-AU"/>
              </w:rPr>
              <w:t>Resolution of the General Administrative Guidelines that establish the Criteria for Imposing the Corresponding Sanctions for Non-compliance of Clean Energy Certificates.</w:t>
            </w:r>
          </w:p>
          <w:p w:rsidR="00DD431D" w:rsidRDefault="00DD431D" w:rsidP="00DD431D">
            <w:pPr>
              <w:spacing w:line="252" w:lineRule="auto"/>
              <w:jc w:val="both"/>
              <w:rPr>
                <w:sz w:val="24"/>
                <w:szCs w:val="24"/>
                <w:lang w:val="en-US"/>
              </w:rPr>
            </w:pPr>
          </w:p>
          <w:p w:rsidR="00DD431D" w:rsidRDefault="00DD431D" w:rsidP="00DD431D">
            <w:pPr>
              <w:spacing w:line="252" w:lineRule="auto"/>
              <w:jc w:val="both"/>
              <w:rPr>
                <w:sz w:val="24"/>
                <w:szCs w:val="24"/>
                <w:lang w:val="en-US"/>
              </w:rPr>
            </w:pPr>
            <w:r>
              <w:rPr>
                <w:sz w:val="24"/>
                <w:szCs w:val="24"/>
                <w:lang w:val="en-US"/>
              </w:rPr>
              <w:t>More work related to CEL is planned for 2016, namely regulatory instruments to fully regulate the CEL mechanism so that it is efficient and easy to comply with.</w:t>
            </w:r>
          </w:p>
          <w:p w:rsidR="00DD431D" w:rsidRDefault="00DD431D" w:rsidP="00DD431D">
            <w:pPr>
              <w:spacing w:line="252" w:lineRule="auto"/>
              <w:jc w:val="both"/>
              <w:rPr>
                <w:sz w:val="24"/>
                <w:szCs w:val="24"/>
                <w:lang w:val="en-US"/>
              </w:rPr>
            </w:pPr>
          </w:p>
          <w:p w:rsidR="00DD431D" w:rsidRDefault="00DD431D" w:rsidP="00DD431D">
            <w:pPr>
              <w:numPr>
                <w:ilvl w:val="0"/>
                <w:numId w:val="3"/>
              </w:numPr>
              <w:spacing w:line="252" w:lineRule="auto"/>
              <w:jc w:val="both"/>
              <w:rPr>
                <w:rFonts w:eastAsia="Times New Roman"/>
                <w:sz w:val="24"/>
                <w:szCs w:val="24"/>
                <w:lang w:val="en-US"/>
              </w:rPr>
            </w:pPr>
            <w:r>
              <w:rPr>
                <w:rFonts w:eastAsia="Times New Roman"/>
                <w:sz w:val="24"/>
                <w:szCs w:val="24"/>
                <w:lang w:val="en-US"/>
              </w:rPr>
              <w:t>Guidelines and procedures for verifying the Clean Energy generation for which CEL are granted.</w:t>
            </w:r>
          </w:p>
          <w:p w:rsidR="00DD431D" w:rsidRDefault="00DD431D" w:rsidP="00DD431D">
            <w:pPr>
              <w:numPr>
                <w:ilvl w:val="0"/>
                <w:numId w:val="3"/>
              </w:numPr>
              <w:spacing w:line="252" w:lineRule="auto"/>
              <w:jc w:val="both"/>
              <w:rPr>
                <w:rFonts w:eastAsia="Times New Roman"/>
                <w:sz w:val="24"/>
                <w:szCs w:val="24"/>
                <w:lang w:val="en-US"/>
              </w:rPr>
            </w:pPr>
            <w:r>
              <w:rPr>
                <w:rFonts w:eastAsia="Times New Roman"/>
                <w:sz w:val="24"/>
                <w:szCs w:val="24"/>
                <w:lang w:val="en-US"/>
              </w:rPr>
              <w:t>Resolution for establishing the procedure for notifying the Energy Regulatory Commission about the compliance deferral of the Clean Energy Obligations.</w:t>
            </w:r>
          </w:p>
          <w:p w:rsidR="00DD431D" w:rsidRDefault="00DD431D" w:rsidP="00DD431D">
            <w:pPr>
              <w:numPr>
                <w:ilvl w:val="0"/>
                <w:numId w:val="3"/>
              </w:numPr>
              <w:spacing w:line="252" w:lineRule="auto"/>
              <w:jc w:val="both"/>
              <w:rPr>
                <w:rFonts w:eastAsia="Times New Roman"/>
                <w:sz w:val="24"/>
                <w:szCs w:val="24"/>
                <w:lang w:val="en-US"/>
              </w:rPr>
            </w:pPr>
            <w:r>
              <w:rPr>
                <w:rFonts w:eastAsia="Times New Roman"/>
                <w:sz w:val="24"/>
                <w:szCs w:val="24"/>
                <w:lang w:val="en-US"/>
              </w:rPr>
              <w:t>Resolution for issuing the procedure for verifying the compliance of Clean Energy Obligations.</w:t>
            </w:r>
          </w:p>
          <w:p w:rsidR="00DD431D" w:rsidRDefault="00DD431D" w:rsidP="00DD431D">
            <w:pPr>
              <w:spacing w:line="252" w:lineRule="auto"/>
              <w:jc w:val="both"/>
              <w:rPr>
                <w:sz w:val="24"/>
                <w:szCs w:val="24"/>
                <w:lang w:val="en-US"/>
              </w:rPr>
            </w:pPr>
          </w:p>
          <w:p w:rsidR="00DD431D" w:rsidRDefault="00DD431D" w:rsidP="00DD431D">
            <w:pPr>
              <w:spacing w:line="252" w:lineRule="auto"/>
              <w:jc w:val="both"/>
              <w:rPr>
                <w:b/>
                <w:bCs/>
                <w:sz w:val="24"/>
                <w:szCs w:val="24"/>
                <w:lang w:val="en-US"/>
              </w:rPr>
            </w:pPr>
            <w:r>
              <w:rPr>
                <w:b/>
                <w:bCs/>
                <w:sz w:val="24"/>
                <w:szCs w:val="24"/>
                <w:lang w:val="en-US"/>
              </w:rPr>
              <w:t>Verification visits: electricity</w:t>
            </w:r>
          </w:p>
          <w:p w:rsidR="00DD431D" w:rsidRDefault="00DD431D" w:rsidP="00DD431D">
            <w:pPr>
              <w:spacing w:line="252" w:lineRule="auto"/>
              <w:jc w:val="both"/>
              <w:rPr>
                <w:sz w:val="24"/>
                <w:szCs w:val="24"/>
                <w:lang w:val="en-US"/>
              </w:rPr>
            </w:pPr>
          </w:p>
          <w:p w:rsidR="00DD431D" w:rsidRDefault="00DD431D" w:rsidP="00DD431D">
            <w:pPr>
              <w:spacing w:line="252" w:lineRule="auto"/>
              <w:jc w:val="both"/>
              <w:rPr>
                <w:sz w:val="24"/>
                <w:szCs w:val="24"/>
                <w:lang w:val="en-US"/>
              </w:rPr>
            </w:pPr>
            <w:r>
              <w:rPr>
                <w:sz w:val="24"/>
                <w:szCs w:val="24"/>
                <w:lang w:val="en-US"/>
              </w:rPr>
              <w:t xml:space="preserve">The Electricity Industry Law mandates CRE to verify the implementation of this Law, carrying out verification visits to electricity trading companies. There are several ways to do this, for example by carrying out visits/inspections to electricity generators and trading companies- </w:t>
            </w:r>
            <w:r>
              <w:rPr>
                <w:sz w:val="24"/>
                <w:szCs w:val="24"/>
                <w:lang w:val="en-US"/>
              </w:rPr>
              <w:lastRenderedPageBreak/>
              <w:t>On 2016 the criteria and methodology for these visits will be stablished.</w:t>
            </w:r>
          </w:p>
          <w:p w:rsidR="00DD431D" w:rsidRDefault="00DD431D" w:rsidP="00DD431D">
            <w:pPr>
              <w:spacing w:line="252" w:lineRule="auto"/>
              <w:jc w:val="both"/>
              <w:rPr>
                <w:b/>
                <w:bCs/>
                <w:sz w:val="24"/>
                <w:szCs w:val="24"/>
                <w:highlight w:val="yellow"/>
                <w:lang w:val="en-US"/>
              </w:rPr>
            </w:pPr>
          </w:p>
          <w:p w:rsidR="00DD431D" w:rsidRDefault="00DD431D" w:rsidP="00DD431D">
            <w:pPr>
              <w:spacing w:line="252" w:lineRule="auto"/>
              <w:jc w:val="both"/>
              <w:rPr>
                <w:b/>
                <w:bCs/>
                <w:sz w:val="24"/>
                <w:szCs w:val="24"/>
                <w:lang w:val="en-US"/>
              </w:rPr>
            </w:pPr>
            <w:r>
              <w:rPr>
                <w:b/>
                <w:bCs/>
                <w:sz w:val="24"/>
                <w:szCs w:val="24"/>
                <w:lang w:val="en-US"/>
              </w:rPr>
              <w:t>LP Gas</w:t>
            </w:r>
          </w:p>
          <w:p w:rsidR="00DD431D" w:rsidRDefault="00DD431D" w:rsidP="00DD431D">
            <w:pPr>
              <w:spacing w:line="252" w:lineRule="auto"/>
              <w:jc w:val="both"/>
              <w:rPr>
                <w:sz w:val="24"/>
                <w:szCs w:val="24"/>
                <w:lang w:val="en-US"/>
              </w:rPr>
            </w:pPr>
          </w:p>
          <w:p w:rsidR="00DD431D" w:rsidRDefault="00DD431D" w:rsidP="00DD431D">
            <w:pPr>
              <w:spacing w:line="252" w:lineRule="auto"/>
              <w:jc w:val="both"/>
              <w:rPr>
                <w:sz w:val="24"/>
                <w:szCs w:val="24"/>
                <w:lang w:val="en-US"/>
              </w:rPr>
            </w:pPr>
            <w:r>
              <w:rPr>
                <w:sz w:val="24"/>
                <w:szCs w:val="24"/>
                <w:lang w:val="en-US"/>
              </w:rPr>
              <w:t>Private imports of LPG gas will be available on 2016 and price liberalization will start on 2017.</w:t>
            </w:r>
            <w:r>
              <w:rPr>
                <w:color w:val="1F3864"/>
                <w:sz w:val="24"/>
                <w:szCs w:val="24"/>
                <w:lang w:val="en-US"/>
              </w:rPr>
              <w:t xml:space="preserve"> </w:t>
            </w:r>
          </w:p>
          <w:p w:rsidR="00DD431D" w:rsidRDefault="00DD431D" w:rsidP="00DD431D">
            <w:pPr>
              <w:spacing w:line="252" w:lineRule="auto"/>
              <w:jc w:val="both"/>
              <w:rPr>
                <w:b/>
                <w:bCs/>
                <w:lang w:val="en-US"/>
              </w:rPr>
            </w:pPr>
          </w:p>
          <w:p w:rsidR="00DD431D" w:rsidRDefault="00DD431D" w:rsidP="00DD431D">
            <w:pPr>
              <w:spacing w:line="252" w:lineRule="auto"/>
              <w:jc w:val="both"/>
              <w:rPr>
                <w:b/>
                <w:bCs/>
                <w:sz w:val="24"/>
                <w:szCs w:val="24"/>
                <w:lang w:val="en-AU"/>
              </w:rPr>
            </w:pPr>
            <w:r>
              <w:rPr>
                <w:b/>
                <w:bCs/>
                <w:sz w:val="24"/>
                <w:szCs w:val="24"/>
                <w:lang w:val="en-AU"/>
              </w:rPr>
              <w:t xml:space="preserve">Verification visits: gas stations </w:t>
            </w:r>
          </w:p>
          <w:p w:rsidR="00DD431D" w:rsidRDefault="00DD431D" w:rsidP="00DD431D">
            <w:pPr>
              <w:spacing w:line="252" w:lineRule="auto"/>
              <w:jc w:val="both"/>
              <w:rPr>
                <w:sz w:val="24"/>
                <w:szCs w:val="24"/>
                <w:lang w:val="en-AU"/>
              </w:rPr>
            </w:pPr>
          </w:p>
          <w:p w:rsidR="00DD431D" w:rsidRDefault="00DD431D" w:rsidP="00DD431D">
            <w:pPr>
              <w:spacing w:line="252" w:lineRule="auto"/>
              <w:jc w:val="both"/>
              <w:rPr>
                <w:sz w:val="24"/>
                <w:szCs w:val="24"/>
                <w:lang w:val="en-AU"/>
              </w:rPr>
            </w:pPr>
            <w:r>
              <w:rPr>
                <w:sz w:val="24"/>
                <w:szCs w:val="24"/>
                <w:lang w:val="en-AU"/>
              </w:rPr>
              <w:t xml:space="preserve">ASEA, or the verification units and third party specialists approved by it, is entitled to make the verification visits regarding the security, design, construction, operation and maintenance of gas stations. </w:t>
            </w:r>
          </w:p>
          <w:p w:rsidR="00DD431D" w:rsidRDefault="00DD431D" w:rsidP="00DD431D">
            <w:pPr>
              <w:spacing w:line="252" w:lineRule="auto"/>
              <w:jc w:val="both"/>
              <w:rPr>
                <w:sz w:val="24"/>
                <w:szCs w:val="24"/>
                <w:lang w:val="en-AU"/>
              </w:rPr>
            </w:pPr>
            <w:r>
              <w:rPr>
                <w:sz w:val="24"/>
                <w:szCs w:val="24"/>
                <w:lang w:val="en-AU"/>
              </w:rPr>
              <w:br/>
              <w:t xml:space="preserve">In relation to the compliance of the obligations of the retailing to the public of gasoline and diesel permits, CRE will conduct random verification visits. This in addition to the rendition of its obligations as a result of issuing such permits. This methodology is currently under review and will be implemented in 2017. However, the verification visits starting in 2016 will also work on a random basis, considering the principle of verifying the following information while also considering budgetary restrictions:  </w:t>
            </w:r>
          </w:p>
          <w:p w:rsidR="00DD431D" w:rsidRDefault="00DD431D" w:rsidP="00DD431D">
            <w:pPr>
              <w:spacing w:line="252" w:lineRule="auto"/>
              <w:jc w:val="both"/>
              <w:rPr>
                <w:sz w:val="24"/>
                <w:szCs w:val="24"/>
                <w:lang w:val="en-AU"/>
              </w:rPr>
            </w:pPr>
          </w:p>
          <w:p w:rsidR="00DD431D" w:rsidRDefault="00DD431D" w:rsidP="00DD431D">
            <w:pPr>
              <w:spacing w:line="252" w:lineRule="auto"/>
              <w:jc w:val="both"/>
              <w:rPr>
                <w:sz w:val="24"/>
                <w:szCs w:val="24"/>
                <w:lang w:val="en-AU"/>
              </w:rPr>
            </w:pPr>
            <w:r>
              <w:rPr>
                <w:sz w:val="24"/>
                <w:szCs w:val="24"/>
                <w:lang w:val="en-AU"/>
              </w:rPr>
              <w:t>1.- Systems’ description (dispatchers, capabilities, mileage, products)</w:t>
            </w:r>
          </w:p>
          <w:p w:rsidR="00DD431D" w:rsidRDefault="00DD431D" w:rsidP="00DD431D">
            <w:pPr>
              <w:spacing w:line="252" w:lineRule="auto"/>
              <w:jc w:val="both"/>
              <w:rPr>
                <w:sz w:val="24"/>
                <w:szCs w:val="24"/>
                <w:lang w:val="en-AU"/>
              </w:rPr>
            </w:pPr>
            <w:r>
              <w:rPr>
                <w:sz w:val="24"/>
                <w:szCs w:val="24"/>
                <w:lang w:val="en-AU"/>
              </w:rPr>
              <w:t xml:space="preserve">2.- Addresses and owners </w:t>
            </w:r>
          </w:p>
          <w:p w:rsidR="00DD431D" w:rsidRDefault="00DD431D" w:rsidP="00DD431D">
            <w:pPr>
              <w:spacing w:line="252" w:lineRule="auto"/>
              <w:jc w:val="both"/>
              <w:rPr>
                <w:sz w:val="24"/>
                <w:szCs w:val="24"/>
                <w:lang w:val="en-AU"/>
              </w:rPr>
            </w:pPr>
            <w:r>
              <w:rPr>
                <w:sz w:val="24"/>
                <w:szCs w:val="24"/>
                <w:lang w:val="en-AU"/>
              </w:rPr>
              <w:t>3.- Legitimate possession of the assets to carry out the activity (service stations)</w:t>
            </w:r>
          </w:p>
          <w:p w:rsidR="00DD431D" w:rsidRDefault="00DD431D" w:rsidP="00DD431D">
            <w:pPr>
              <w:spacing w:line="252" w:lineRule="auto"/>
              <w:jc w:val="both"/>
              <w:rPr>
                <w:sz w:val="24"/>
                <w:szCs w:val="24"/>
                <w:lang w:val="en-AU"/>
              </w:rPr>
            </w:pPr>
            <w:r>
              <w:rPr>
                <w:sz w:val="24"/>
                <w:szCs w:val="24"/>
                <w:lang w:val="en-AU"/>
              </w:rPr>
              <w:t>4.-Licit origin of the product (purchase contracts of fuel)</w:t>
            </w:r>
          </w:p>
          <w:p w:rsidR="00DD431D" w:rsidRDefault="00DD431D" w:rsidP="00DD431D">
            <w:pPr>
              <w:spacing w:line="252" w:lineRule="auto"/>
              <w:jc w:val="both"/>
              <w:rPr>
                <w:sz w:val="24"/>
                <w:szCs w:val="24"/>
                <w:lang w:val="en-AU"/>
              </w:rPr>
            </w:pPr>
            <w:r>
              <w:rPr>
                <w:sz w:val="24"/>
                <w:szCs w:val="24"/>
                <w:lang w:val="en-AU"/>
              </w:rPr>
              <w:t>5.- Insurances</w:t>
            </w:r>
          </w:p>
          <w:p w:rsidR="00DD431D" w:rsidRDefault="00DD431D" w:rsidP="00DD431D">
            <w:pPr>
              <w:spacing w:line="252" w:lineRule="auto"/>
              <w:jc w:val="both"/>
              <w:rPr>
                <w:sz w:val="24"/>
                <w:szCs w:val="24"/>
                <w:lang w:val="en-AU"/>
              </w:rPr>
            </w:pPr>
            <w:r>
              <w:rPr>
                <w:sz w:val="24"/>
                <w:szCs w:val="24"/>
                <w:lang w:val="en-AU"/>
              </w:rPr>
              <w:t>6.- Having the permit granted by CRE to carry out the regulated activity</w:t>
            </w:r>
          </w:p>
          <w:p w:rsidR="00DD431D" w:rsidRDefault="00DD431D" w:rsidP="00DD431D">
            <w:pPr>
              <w:spacing w:line="252" w:lineRule="auto"/>
              <w:jc w:val="both"/>
              <w:rPr>
                <w:lang w:val="en-US"/>
              </w:rPr>
            </w:pPr>
          </w:p>
          <w:p w:rsidR="0077314C" w:rsidRPr="0077314C" w:rsidRDefault="0077314C" w:rsidP="0077314C">
            <w:pPr>
              <w:spacing w:line="252" w:lineRule="auto"/>
              <w:jc w:val="both"/>
              <w:rPr>
                <w:b/>
                <w:lang w:val="en-US"/>
              </w:rPr>
            </w:pPr>
            <w:r w:rsidRPr="0077314C">
              <w:rPr>
                <w:b/>
                <w:lang w:val="en-US"/>
              </w:rPr>
              <w:t xml:space="preserve">Develop storage infrastructure </w:t>
            </w:r>
          </w:p>
          <w:p w:rsidR="00DD431D" w:rsidRDefault="0077314C" w:rsidP="0077314C">
            <w:pPr>
              <w:spacing w:line="252" w:lineRule="auto"/>
              <w:jc w:val="both"/>
              <w:rPr>
                <w:lang w:val="en-US"/>
              </w:rPr>
            </w:pPr>
            <w:r w:rsidRPr="0077314C">
              <w:rPr>
                <w:lang w:val="en-US"/>
              </w:rPr>
              <w:t>Developing storage infrastructure is also essential to develop competitive and efficient markets. The Mexican government is working in the evaluation of current storage capacity to develop indicative policy and establish minimum storage needs to ensure supply and foster the development of efficient markets.</w:t>
            </w:r>
          </w:p>
          <w:p w:rsidR="00DD431D" w:rsidRDefault="00DD431D" w:rsidP="00DD431D">
            <w:pPr>
              <w:spacing w:line="252" w:lineRule="auto"/>
              <w:jc w:val="both"/>
              <w:rPr>
                <w:lang w:val="en-US"/>
              </w:rPr>
            </w:pPr>
          </w:p>
          <w:p w:rsidR="00DD431D" w:rsidRDefault="00DD431D" w:rsidP="00DD431D">
            <w:pPr>
              <w:spacing w:line="252" w:lineRule="auto"/>
              <w:jc w:val="both"/>
              <w:rPr>
                <w:lang w:val="en-US"/>
              </w:rPr>
            </w:pPr>
          </w:p>
          <w:p w:rsidR="0077314C" w:rsidRDefault="0077314C" w:rsidP="0077314C">
            <w:pPr>
              <w:spacing w:line="252" w:lineRule="auto"/>
              <w:jc w:val="both"/>
              <w:rPr>
                <w:b/>
                <w:lang w:val="en-US"/>
              </w:rPr>
            </w:pPr>
            <w:r w:rsidRPr="0077314C">
              <w:rPr>
                <w:b/>
                <w:lang w:val="en-US"/>
              </w:rPr>
              <w:t>Energy Investments</w:t>
            </w:r>
          </w:p>
          <w:p w:rsidR="0077314C" w:rsidRPr="0077314C" w:rsidRDefault="0077314C" w:rsidP="0077314C">
            <w:pPr>
              <w:spacing w:line="252" w:lineRule="auto"/>
              <w:ind w:left="708" w:hanging="708"/>
              <w:jc w:val="both"/>
              <w:rPr>
                <w:b/>
                <w:lang w:val="en-US"/>
              </w:rPr>
            </w:pPr>
          </w:p>
          <w:p w:rsidR="0077314C" w:rsidRPr="0077314C" w:rsidRDefault="0077314C" w:rsidP="0077314C">
            <w:pPr>
              <w:spacing w:line="252" w:lineRule="auto"/>
              <w:jc w:val="both"/>
              <w:rPr>
                <w:lang w:val="en-US"/>
              </w:rPr>
            </w:pPr>
            <w:r w:rsidRPr="0077314C">
              <w:rPr>
                <w:lang w:val="en-US"/>
              </w:rPr>
              <w:t xml:space="preserve">With a stronger institutional and regulatory framework, the Reform presents good opportunities for investment throughout the value chain. </w:t>
            </w:r>
          </w:p>
          <w:p w:rsidR="0077314C" w:rsidRPr="0077314C" w:rsidRDefault="0077314C" w:rsidP="0077314C">
            <w:pPr>
              <w:spacing w:line="252" w:lineRule="auto"/>
              <w:jc w:val="both"/>
              <w:rPr>
                <w:lang w:val="en-US"/>
              </w:rPr>
            </w:pPr>
          </w:p>
          <w:p w:rsidR="0077314C" w:rsidRPr="0077314C" w:rsidRDefault="0077314C" w:rsidP="0077314C">
            <w:pPr>
              <w:spacing w:line="252" w:lineRule="auto"/>
              <w:jc w:val="both"/>
              <w:rPr>
                <w:lang w:val="en-US"/>
              </w:rPr>
            </w:pPr>
            <w:r w:rsidRPr="0077314C">
              <w:rPr>
                <w:lang w:val="en-US"/>
              </w:rPr>
              <w:t xml:space="preserve">Total cumulative investments in Mexico’s energy sector will increase significantly, to between USD 1.8 trillion and USD 3 trillion in 2012 USD terms under two different cost thresholds. In line with the scope of the energy reform and the relevance </w:t>
            </w:r>
            <w:r w:rsidRPr="0077314C">
              <w:rPr>
                <w:lang w:val="en-US"/>
              </w:rPr>
              <w:lastRenderedPageBreak/>
              <w:t xml:space="preserve">of the oil and gas industry to Mexico’s economy and public finances, the upstream segment of the oil and gas industry will receive most of the capital inflows, in the range of USD 1.3 trillion to USD 2.2 trillion, equivalent to 74% of the total investments in the energy sector under low-cost assumptions, or 75% under high-cost assumptions. </w:t>
            </w:r>
          </w:p>
          <w:p w:rsidR="00DD431D" w:rsidRDefault="0077314C" w:rsidP="0077314C">
            <w:pPr>
              <w:spacing w:line="252" w:lineRule="auto"/>
              <w:jc w:val="both"/>
              <w:rPr>
                <w:lang w:val="en-US"/>
              </w:rPr>
            </w:pPr>
            <w:r w:rsidRPr="0077314C">
              <w:rPr>
                <w:lang w:val="en-US"/>
              </w:rPr>
              <w:t>The electricity sector will follow in the magnitude of capital inflows, with a capital amount between USD 361 billion and 558 billion that could respectively represent 20% and 18% of the total investments in the low and high-cost cases. This magnitude of investments might be plausible as the participation of private companies grows and Mexico accelerates the development of renewable energy projects and the associated transmission and distribution.</w:t>
            </w:r>
          </w:p>
        </w:tc>
      </w:tr>
      <w:tr w:rsidR="00DD431D" w:rsidRPr="003651F1" w:rsidTr="00DD431D">
        <w:tc>
          <w:tcPr>
            <w:tcW w:w="97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D431D" w:rsidRDefault="00DD431D" w:rsidP="00DD431D">
            <w:pPr>
              <w:spacing w:line="252" w:lineRule="auto"/>
              <w:rPr>
                <w:i/>
                <w:iCs/>
                <w:color w:val="808080"/>
                <w:lang w:val="en-US"/>
              </w:rPr>
            </w:pPr>
          </w:p>
          <w:p w:rsidR="00DD431D" w:rsidRDefault="00DD431D" w:rsidP="00DD431D">
            <w:pPr>
              <w:spacing w:line="252" w:lineRule="auto"/>
              <w:rPr>
                <w:i/>
                <w:iCs/>
                <w:color w:val="808080"/>
                <w:lang w:val="en-US"/>
              </w:rPr>
            </w:pPr>
          </w:p>
          <w:p w:rsidR="00DD431D" w:rsidRDefault="00DD431D" w:rsidP="00DD431D">
            <w:pPr>
              <w:spacing w:line="252" w:lineRule="auto"/>
              <w:rPr>
                <w:b/>
                <w:bCs/>
                <w:i/>
                <w:iCs/>
                <w:lang w:val="en-US"/>
              </w:rPr>
            </w:pPr>
            <w:r>
              <w:rPr>
                <w:i/>
                <w:iCs/>
                <w:color w:val="808080"/>
                <w:lang w:val="en-US"/>
              </w:rPr>
              <w:t xml:space="preserve">Website for further information:  </w:t>
            </w:r>
          </w:p>
        </w:tc>
        <w:tc>
          <w:tcPr>
            <w:tcW w:w="2340" w:type="pct"/>
            <w:tcBorders>
              <w:top w:val="nil"/>
              <w:left w:val="nil"/>
              <w:bottom w:val="single" w:sz="8" w:space="0" w:color="auto"/>
              <w:right w:val="single" w:sz="8" w:space="0" w:color="auto"/>
            </w:tcBorders>
            <w:tcMar>
              <w:top w:w="0" w:type="dxa"/>
              <w:left w:w="108" w:type="dxa"/>
              <w:bottom w:w="0" w:type="dxa"/>
              <w:right w:w="108" w:type="dxa"/>
            </w:tcMar>
          </w:tcPr>
          <w:p w:rsidR="00DD431D" w:rsidRDefault="00DD431D" w:rsidP="00DD431D">
            <w:pPr>
              <w:spacing w:before="100" w:beforeAutospacing="1" w:line="252" w:lineRule="auto"/>
              <w:rPr>
                <w:lang w:val="en-US"/>
              </w:rPr>
            </w:pPr>
          </w:p>
          <w:p w:rsidR="003651F1" w:rsidRPr="007F1DBE" w:rsidRDefault="00FE3377" w:rsidP="003651F1">
            <w:pPr>
              <w:pStyle w:val="NoSpacing"/>
              <w:rPr>
                <w:rStyle w:val="Hyperlink"/>
                <w:rFonts w:asciiTheme="minorHAnsi" w:hAnsiTheme="minorHAnsi"/>
                <w:iCs/>
                <w:lang w:val="en-US"/>
              </w:rPr>
            </w:pPr>
            <w:hyperlink r:id="rId7" w:history="1">
              <w:r w:rsidR="003651F1" w:rsidRPr="007F1DBE">
                <w:rPr>
                  <w:rStyle w:val="Hyperlink"/>
                  <w:rFonts w:asciiTheme="minorHAnsi" w:hAnsiTheme="minorHAnsi"/>
                  <w:iCs/>
                  <w:lang w:val="en-US"/>
                </w:rPr>
                <w:t>http://reformas.gob.mx/reforma-energetica</w:t>
              </w:r>
            </w:hyperlink>
          </w:p>
          <w:p w:rsidR="003651F1" w:rsidRPr="007F1DBE" w:rsidRDefault="00FE3377" w:rsidP="003651F1">
            <w:pPr>
              <w:pStyle w:val="Heading9"/>
              <w:jc w:val="both"/>
              <w:rPr>
                <w:rStyle w:val="Hyperlink"/>
                <w:rFonts w:cs="Calibri"/>
                <w:iCs/>
                <w:sz w:val="22"/>
                <w:szCs w:val="22"/>
              </w:rPr>
            </w:pPr>
            <w:hyperlink r:id="rId8" w:history="1">
              <w:r w:rsidR="003651F1" w:rsidRPr="007F1DBE">
                <w:rPr>
                  <w:rStyle w:val="Hyperlink"/>
                  <w:rFonts w:asciiTheme="minorHAnsi" w:hAnsiTheme="minorHAnsi" w:cs="Calibri"/>
                  <w:b w:val="0"/>
                  <w:i w:val="0"/>
                  <w:iCs/>
                  <w:sz w:val="22"/>
                  <w:szCs w:val="22"/>
                  <w:lang w:val="en-US"/>
                </w:rPr>
                <w:t>http://reformas.gob.mx/en/energy-reform/what-is</w:t>
              </w:r>
            </w:hyperlink>
          </w:p>
          <w:p w:rsidR="003651F1" w:rsidRPr="007F1DBE" w:rsidRDefault="003651F1" w:rsidP="003651F1">
            <w:pPr>
              <w:pStyle w:val="NoSpacing"/>
              <w:rPr>
                <w:rStyle w:val="Hyperlink"/>
                <w:lang w:val="en-US"/>
              </w:rPr>
            </w:pPr>
            <w:r w:rsidRPr="007F1DBE">
              <w:rPr>
                <w:rStyle w:val="Hyperlink"/>
                <w:rFonts w:asciiTheme="minorHAnsi" w:hAnsiTheme="minorHAnsi"/>
                <w:iCs/>
                <w:lang w:val="en-US"/>
              </w:rPr>
              <w:t>http://www.gob.mx/sener</w:t>
            </w:r>
          </w:p>
          <w:p w:rsidR="003651F1" w:rsidRPr="007F1DBE" w:rsidRDefault="00FE3377" w:rsidP="003651F1">
            <w:pPr>
              <w:pStyle w:val="Heading9"/>
              <w:jc w:val="both"/>
              <w:rPr>
                <w:rStyle w:val="Hyperlink"/>
                <w:rFonts w:cs="Calibri"/>
                <w:b w:val="0"/>
                <w:iCs/>
                <w:sz w:val="22"/>
                <w:szCs w:val="22"/>
              </w:rPr>
            </w:pPr>
            <w:hyperlink r:id="rId9" w:history="1">
              <w:r w:rsidR="003651F1" w:rsidRPr="007F1DBE">
                <w:rPr>
                  <w:rStyle w:val="Hyperlink"/>
                  <w:rFonts w:asciiTheme="minorHAnsi" w:hAnsiTheme="minorHAnsi" w:cs="Calibri"/>
                  <w:b w:val="0"/>
                  <w:i w:val="0"/>
                  <w:iCs/>
                  <w:sz w:val="22"/>
                  <w:szCs w:val="22"/>
                  <w:lang w:val="en-US"/>
                </w:rPr>
                <w:t>http://www.cre.gob.mx/</w:t>
              </w:r>
            </w:hyperlink>
          </w:p>
          <w:p w:rsidR="00DD431D" w:rsidRDefault="003651F1" w:rsidP="00DD431D">
            <w:pPr>
              <w:spacing w:line="252" w:lineRule="auto"/>
              <w:rPr>
                <w:lang w:val="en-AU"/>
              </w:rPr>
            </w:pPr>
            <w:r>
              <w:rPr>
                <w:lang w:val="en-AU"/>
              </w:rPr>
              <w:t xml:space="preserve"> </w:t>
            </w:r>
          </w:p>
          <w:p w:rsidR="0077314C" w:rsidRPr="003651F1" w:rsidRDefault="0077314C" w:rsidP="00DD431D">
            <w:pPr>
              <w:spacing w:line="252" w:lineRule="auto"/>
              <w:rPr>
                <w:lang w:val="en-AU"/>
              </w:rPr>
            </w:pPr>
          </w:p>
        </w:tc>
        <w:tc>
          <w:tcPr>
            <w:tcW w:w="1681" w:type="pct"/>
            <w:tcBorders>
              <w:top w:val="nil"/>
              <w:left w:val="nil"/>
              <w:bottom w:val="single" w:sz="8" w:space="0" w:color="auto"/>
              <w:right w:val="single" w:sz="8" w:space="0" w:color="auto"/>
            </w:tcBorders>
            <w:tcMar>
              <w:top w:w="0" w:type="dxa"/>
              <w:left w:w="108" w:type="dxa"/>
              <w:bottom w:w="0" w:type="dxa"/>
              <w:right w:w="108" w:type="dxa"/>
            </w:tcMar>
          </w:tcPr>
          <w:p w:rsidR="00DD431D" w:rsidRDefault="00DD431D" w:rsidP="00DD431D">
            <w:pPr>
              <w:spacing w:before="100" w:beforeAutospacing="1" w:after="100" w:afterAutospacing="1" w:line="252" w:lineRule="auto"/>
              <w:jc w:val="both"/>
              <w:rPr>
                <w:b/>
                <w:bCs/>
                <w:lang w:val="en-US"/>
              </w:rPr>
            </w:pPr>
          </w:p>
        </w:tc>
      </w:tr>
      <w:tr w:rsidR="00DD431D" w:rsidRPr="003651F1" w:rsidTr="00DD431D">
        <w:tc>
          <w:tcPr>
            <w:tcW w:w="97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1D" w:rsidRDefault="00DD431D" w:rsidP="00DD431D">
            <w:pPr>
              <w:spacing w:line="252" w:lineRule="auto"/>
              <w:rPr>
                <w:i/>
                <w:iCs/>
                <w:color w:val="808080"/>
                <w:lang w:val="en-US"/>
              </w:rPr>
            </w:pPr>
            <w:r>
              <w:rPr>
                <w:i/>
                <w:iCs/>
                <w:color w:val="808080"/>
                <w:lang w:val="en-US"/>
              </w:rPr>
              <w:t>Contact point for further details:</w:t>
            </w:r>
          </w:p>
        </w:tc>
        <w:tc>
          <w:tcPr>
            <w:tcW w:w="2340" w:type="pct"/>
            <w:tcBorders>
              <w:top w:val="nil"/>
              <w:left w:val="nil"/>
              <w:bottom w:val="single" w:sz="8" w:space="0" w:color="auto"/>
              <w:right w:val="single" w:sz="8" w:space="0" w:color="auto"/>
            </w:tcBorders>
            <w:tcMar>
              <w:top w:w="0" w:type="dxa"/>
              <w:left w:w="108" w:type="dxa"/>
              <w:bottom w:w="0" w:type="dxa"/>
              <w:right w:w="108" w:type="dxa"/>
            </w:tcMar>
          </w:tcPr>
          <w:p w:rsidR="003651F1" w:rsidRPr="003651F1" w:rsidRDefault="003651F1" w:rsidP="003651F1">
            <w:pPr>
              <w:spacing w:line="252" w:lineRule="auto"/>
              <w:rPr>
                <w:b/>
                <w:bCs/>
                <w:lang w:val="en-US"/>
              </w:rPr>
            </w:pPr>
            <w:r w:rsidRPr="003651F1">
              <w:rPr>
                <w:b/>
                <w:bCs/>
                <w:lang w:val="en-US"/>
              </w:rPr>
              <w:t>Fernando Mayer de Leeuw</w:t>
            </w:r>
          </w:p>
          <w:p w:rsidR="003651F1" w:rsidRPr="003651F1" w:rsidRDefault="003651F1" w:rsidP="003651F1">
            <w:pPr>
              <w:spacing w:line="252" w:lineRule="auto"/>
              <w:rPr>
                <w:bCs/>
                <w:lang w:val="en-US"/>
              </w:rPr>
            </w:pPr>
            <w:r w:rsidRPr="003651F1">
              <w:rPr>
                <w:bCs/>
                <w:lang w:val="en-US"/>
              </w:rPr>
              <w:t>Director of International Trade of Services and Investment “A”</w:t>
            </w:r>
          </w:p>
          <w:p w:rsidR="003651F1" w:rsidRPr="003651F1" w:rsidRDefault="003651F1" w:rsidP="003651F1">
            <w:pPr>
              <w:spacing w:line="252" w:lineRule="auto"/>
              <w:rPr>
                <w:bCs/>
                <w:lang w:val="en-US"/>
              </w:rPr>
            </w:pPr>
            <w:r w:rsidRPr="003651F1">
              <w:rPr>
                <w:bCs/>
                <w:lang w:val="en-US"/>
              </w:rPr>
              <w:t>General Direction  of International Trade of Services and Investment</w:t>
            </w:r>
          </w:p>
          <w:p w:rsidR="003651F1" w:rsidRPr="003651F1" w:rsidRDefault="003651F1" w:rsidP="003651F1">
            <w:pPr>
              <w:spacing w:line="252" w:lineRule="auto"/>
              <w:rPr>
                <w:bCs/>
                <w:lang w:val="en-US"/>
              </w:rPr>
            </w:pPr>
            <w:r w:rsidRPr="003651F1">
              <w:rPr>
                <w:bCs/>
                <w:lang w:val="en-US"/>
              </w:rPr>
              <w:t>Ministry of Economy</w:t>
            </w:r>
          </w:p>
          <w:p w:rsidR="003651F1" w:rsidRPr="003651F1" w:rsidRDefault="003651F1" w:rsidP="003651F1">
            <w:pPr>
              <w:spacing w:line="252" w:lineRule="auto"/>
              <w:rPr>
                <w:bCs/>
                <w:lang w:val="en-US"/>
              </w:rPr>
            </w:pPr>
            <w:r w:rsidRPr="003651F1">
              <w:rPr>
                <w:bCs/>
                <w:lang w:val="en-US"/>
              </w:rPr>
              <w:t>Phone: +52 (55) 5729 9172</w:t>
            </w:r>
          </w:p>
          <w:p w:rsidR="003651F1" w:rsidRPr="003651F1" w:rsidRDefault="003651F1" w:rsidP="003651F1">
            <w:pPr>
              <w:spacing w:line="252" w:lineRule="auto"/>
              <w:rPr>
                <w:bCs/>
                <w:lang w:val="en-US"/>
              </w:rPr>
            </w:pPr>
            <w:r w:rsidRPr="003651F1">
              <w:rPr>
                <w:bCs/>
                <w:lang w:val="en-US"/>
              </w:rPr>
              <w:t xml:space="preserve">Email: </w:t>
            </w:r>
            <w:hyperlink r:id="rId10" w:history="1">
              <w:r w:rsidRPr="0079090C">
                <w:rPr>
                  <w:rStyle w:val="Hyperlink"/>
                  <w:bCs/>
                  <w:lang w:val="en-US"/>
                </w:rPr>
                <w:t>fernando.mayer@economia.gob.mx</w:t>
              </w:r>
            </w:hyperlink>
            <w:r>
              <w:rPr>
                <w:bCs/>
                <w:lang w:val="en-US"/>
              </w:rPr>
              <w:t xml:space="preserve"> </w:t>
            </w:r>
          </w:p>
          <w:p w:rsidR="003651F1" w:rsidRDefault="003651F1" w:rsidP="00DD431D">
            <w:pPr>
              <w:spacing w:line="252" w:lineRule="auto"/>
              <w:rPr>
                <w:b/>
                <w:bCs/>
                <w:lang w:val="en-US"/>
              </w:rPr>
            </w:pPr>
          </w:p>
          <w:p w:rsidR="00DD431D" w:rsidRDefault="00DD431D" w:rsidP="00DD431D">
            <w:pPr>
              <w:spacing w:line="252" w:lineRule="auto"/>
              <w:rPr>
                <w:b/>
                <w:bCs/>
                <w:lang w:val="en-US"/>
              </w:rPr>
            </w:pPr>
            <w:r>
              <w:rPr>
                <w:b/>
                <w:bCs/>
                <w:lang w:val="en-US"/>
              </w:rPr>
              <w:t>Beatriz Estrada Moreno</w:t>
            </w:r>
          </w:p>
          <w:p w:rsidR="00DD431D" w:rsidRDefault="00DD431D" w:rsidP="00DD431D">
            <w:pPr>
              <w:spacing w:line="252" w:lineRule="auto"/>
              <w:rPr>
                <w:lang w:val="en-US"/>
              </w:rPr>
            </w:pPr>
            <w:r>
              <w:rPr>
                <w:lang w:val="en-US"/>
              </w:rPr>
              <w:t>Director of International Affairs</w:t>
            </w:r>
          </w:p>
          <w:p w:rsidR="00DD431D" w:rsidRDefault="00DD431D" w:rsidP="00DD431D">
            <w:pPr>
              <w:spacing w:line="252" w:lineRule="auto"/>
              <w:rPr>
                <w:lang w:val="en-US"/>
              </w:rPr>
            </w:pPr>
            <w:r>
              <w:rPr>
                <w:lang w:val="en-US"/>
              </w:rPr>
              <w:t>Mexico’s Energy Regulatory Commission (CRE)</w:t>
            </w:r>
          </w:p>
          <w:p w:rsidR="00DD431D" w:rsidRDefault="00DD431D" w:rsidP="00DD431D">
            <w:pPr>
              <w:spacing w:line="252" w:lineRule="auto"/>
              <w:rPr>
                <w:lang w:val="en-US"/>
              </w:rPr>
            </w:pPr>
            <w:r>
              <w:rPr>
                <w:lang w:val="en-US"/>
              </w:rPr>
              <w:t>Phone: 52831500 ext 1060</w:t>
            </w:r>
          </w:p>
          <w:p w:rsidR="00DD431D" w:rsidRDefault="00DD431D" w:rsidP="003651F1">
            <w:pPr>
              <w:tabs>
                <w:tab w:val="center" w:pos="3252"/>
              </w:tabs>
              <w:spacing w:line="252" w:lineRule="auto"/>
              <w:rPr>
                <w:rStyle w:val="Hyperlink"/>
                <w:lang w:val="en-US"/>
              </w:rPr>
            </w:pPr>
            <w:r>
              <w:rPr>
                <w:lang w:val="en-US"/>
              </w:rPr>
              <w:t xml:space="preserve">Email: </w:t>
            </w:r>
            <w:hyperlink r:id="rId11" w:history="1">
              <w:r>
                <w:rPr>
                  <w:rStyle w:val="Hyperlink"/>
                  <w:lang w:val="en-US"/>
                </w:rPr>
                <w:t>bestrada@cre.gob.mx</w:t>
              </w:r>
            </w:hyperlink>
          </w:p>
          <w:p w:rsidR="003651F1" w:rsidRDefault="003651F1" w:rsidP="003651F1">
            <w:pPr>
              <w:tabs>
                <w:tab w:val="center" w:pos="3252"/>
              </w:tabs>
              <w:spacing w:line="252" w:lineRule="auto"/>
              <w:rPr>
                <w:rStyle w:val="Hyperlink"/>
                <w:lang w:val="en-US"/>
              </w:rPr>
            </w:pPr>
          </w:p>
          <w:p w:rsidR="003651F1" w:rsidRPr="003651F1" w:rsidRDefault="003651F1" w:rsidP="003651F1">
            <w:pPr>
              <w:pStyle w:val="NoSpacing"/>
              <w:rPr>
                <w:rFonts w:asciiTheme="minorHAnsi" w:hAnsiTheme="minorHAnsi"/>
                <w:b/>
                <w:lang w:val="en-US"/>
              </w:rPr>
            </w:pPr>
            <w:r w:rsidRPr="003651F1">
              <w:rPr>
                <w:rFonts w:asciiTheme="minorHAnsi" w:hAnsiTheme="minorHAnsi"/>
                <w:b/>
                <w:lang w:val="en-US"/>
              </w:rPr>
              <w:t>Javier Flores Durón Lizaola</w:t>
            </w:r>
          </w:p>
          <w:p w:rsidR="003651F1" w:rsidRPr="007F1DBE" w:rsidRDefault="003651F1" w:rsidP="003651F1">
            <w:pPr>
              <w:rPr>
                <w:rFonts w:cs="Calibri"/>
                <w:iCs/>
                <w:lang w:val="en-US"/>
              </w:rPr>
            </w:pPr>
            <w:r w:rsidRPr="007F1DBE">
              <w:rPr>
                <w:rFonts w:cs="Calibri"/>
                <w:iCs/>
                <w:lang w:val="en-US"/>
              </w:rPr>
              <w:t>Director for North America, Europe and Asia</w:t>
            </w:r>
          </w:p>
          <w:p w:rsidR="003651F1" w:rsidRPr="007F1DBE" w:rsidRDefault="003651F1" w:rsidP="003651F1">
            <w:pPr>
              <w:pStyle w:val="NoSpacing"/>
              <w:rPr>
                <w:rFonts w:asciiTheme="minorHAnsi" w:hAnsiTheme="minorHAnsi"/>
                <w:iCs/>
                <w:lang w:val="en-US"/>
              </w:rPr>
            </w:pPr>
            <w:r w:rsidRPr="007F1DBE">
              <w:rPr>
                <w:rFonts w:asciiTheme="minorHAnsi" w:hAnsiTheme="minorHAnsi"/>
                <w:iCs/>
                <w:lang w:val="en-US"/>
              </w:rPr>
              <w:t xml:space="preserve">General Direction of International Affairs, </w:t>
            </w:r>
          </w:p>
          <w:p w:rsidR="003651F1" w:rsidRPr="007F1DBE" w:rsidRDefault="003651F1" w:rsidP="003651F1">
            <w:pPr>
              <w:pStyle w:val="NoSpacing"/>
              <w:rPr>
                <w:rFonts w:asciiTheme="minorHAnsi" w:hAnsiTheme="minorHAnsi"/>
                <w:iCs/>
                <w:lang w:val="en-US"/>
              </w:rPr>
            </w:pPr>
            <w:r w:rsidRPr="007F1DBE">
              <w:rPr>
                <w:rFonts w:asciiTheme="minorHAnsi" w:hAnsiTheme="minorHAnsi"/>
                <w:iCs/>
                <w:lang w:val="en-US"/>
              </w:rPr>
              <w:t>Ministry of Energy</w:t>
            </w:r>
          </w:p>
          <w:p w:rsidR="003651F1" w:rsidRPr="007F1DBE" w:rsidRDefault="003651F1" w:rsidP="003651F1">
            <w:pPr>
              <w:rPr>
                <w:rFonts w:cs="Calibri"/>
                <w:iCs/>
                <w:lang w:val="en-US"/>
              </w:rPr>
            </w:pPr>
            <w:r w:rsidRPr="007F1DBE">
              <w:rPr>
                <w:rFonts w:cs="Calibri"/>
                <w:iCs/>
                <w:lang w:val="en-US"/>
              </w:rPr>
              <w:t>Phone. (5255) 5000 6000 Ext. 1150</w:t>
            </w:r>
          </w:p>
          <w:p w:rsidR="003651F1" w:rsidRPr="007F1DBE" w:rsidRDefault="003651F1" w:rsidP="003651F1">
            <w:pPr>
              <w:rPr>
                <w:rFonts w:cs="Calibri"/>
                <w:iCs/>
                <w:color w:val="0000FF"/>
                <w:u w:val="single"/>
                <w:lang w:val="fr-FR"/>
              </w:rPr>
            </w:pPr>
            <w:r w:rsidRPr="007F1DBE">
              <w:rPr>
                <w:rFonts w:cs="Calibri"/>
                <w:iCs/>
                <w:lang w:val="fr-FR"/>
              </w:rPr>
              <w:t>Email:</w:t>
            </w:r>
            <w:r w:rsidRPr="007F1DBE">
              <w:rPr>
                <w:lang w:val="fr-FR"/>
              </w:rPr>
              <w:t xml:space="preserve"> </w:t>
            </w:r>
            <w:hyperlink r:id="rId12" w:history="1">
              <w:r w:rsidRPr="007F1DBE">
                <w:rPr>
                  <w:rStyle w:val="Hyperlink"/>
                  <w:rFonts w:cs="Calibri"/>
                  <w:iCs/>
                  <w:lang w:val="fr-FR"/>
                </w:rPr>
                <w:t>jfloresd@energia.gob.mx</w:t>
              </w:r>
            </w:hyperlink>
            <w:r w:rsidRPr="007F1DBE">
              <w:rPr>
                <w:iCs/>
                <w:lang w:val="en-US"/>
              </w:rPr>
              <w:t xml:space="preserve"> </w:t>
            </w:r>
          </w:p>
          <w:p w:rsidR="003651F1" w:rsidRPr="00013DCB" w:rsidRDefault="003651F1" w:rsidP="003651F1">
            <w:pPr>
              <w:tabs>
                <w:tab w:val="center" w:pos="3252"/>
              </w:tabs>
              <w:spacing w:line="252" w:lineRule="auto"/>
              <w:rPr>
                <w:lang w:val="en-US"/>
              </w:rPr>
            </w:pPr>
          </w:p>
        </w:tc>
        <w:tc>
          <w:tcPr>
            <w:tcW w:w="1681" w:type="pct"/>
            <w:tcBorders>
              <w:top w:val="nil"/>
              <w:left w:val="nil"/>
              <w:bottom w:val="single" w:sz="8" w:space="0" w:color="auto"/>
              <w:right w:val="single" w:sz="8" w:space="0" w:color="auto"/>
            </w:tcBorders>
            <w:tcMar>
              <w:top w:w="0" w:type="dxa"/>
              <w:left w:w="108" w:type="dxa"/>
              <w:bottom w:w="0" w:type="dxa"/>
              <w:right w:w="108" w:type="dxa"/>
            </w:tcMar>
          </w:tcPr>
          <w:p w:rsidR="00DD431D" w:rsidRDefault="00DD431D" w:rsidP="00DD431D">
            <w:pPr>
              <w:spacing w:before="100" w:beforeAutospacing="1" w:after="100" w:afterAutospacing="1" w:line="252" w:lineRule="auto"/>
              <w:jc w:val="both"/>
              <w:rPr>
                <w:b/>
                <w:bCs/>
                <w:lang w:val="en-US"/>
              </w:rPr>
            </w:pPr>
          </w:p>
        </w:tc>
      </w:tr>
    </w:tbl>
    <w:p w:rsidR="00EB0EFC" w:rsidRDefault="00EB0EFC" w:rsidP="002613CB">
      <w:pPr>
        <w:jc w:val="center"/>
        <w:rPr>
          <w:rFonts w:eastAsia="Calibri"/>
          <w:b/>
          <w:sz w:val="28"/>
          <w:szCs w:val="28"/>
          <w:lang w:val="en-US"/>
        </w:rPr>
      </w:pPr>
    </w:p>
    <w:p w:rsidR="00EB0EFC" w:rsidRPr="003651F1" w:rsidRDefault="00EB0EFC" w:rsidP="00EB0EFC">
      <w:pPr>
        <w:ind w:left="708"/>
        <w:rPr>
          <w:rFonts w:ascii="Times New Roman" w:hAnsi="Times New Roman"/>
          <w:vanish/>
          <w:sz w:val="24"/>
          <w:szCs w:val="24"/>
          <w:lang w:val="en-US" w:eastAsia="es-MX"/>
        </w:rPr>
      </w:pPr>
    </w:p>
    <w:p w:rsidR="00EB0EFC" w:rsidRDefault="00EB0EFC" w:rsidP="00013DCB">
      <w:pPr>
        <w:jc w:val="both"/>
        <w:rPr>
          <w:lang w:val="en-US"/>
        </w:rPr>
      </w:pPr>
    </w:p>
    <w:p w:rsidR="00EB0EFC" w:rsidRDefault="00EB0EFC" w:rsidP="00EB0EFC">
      <w:pPr>
        <w:ind w:left="708"/>
        <w:rPr>
          <w:b/>
          <w:bCs/>
          <w:lang w:val="en-US"/>
        </w:rPr>
      </w:pPr>
    </w:p>
    <w:p w:rsidR="00EB0EFC" w:rsidRDefault="00EB0EFC" w:rsidP="00EB0EFC">
      <w:pPr>
        <w:ind w:left="708"/>
        <w:rPr>
          <w:b/>
          <w:bCs/>
          <w:lang w:val="en-US"/>
        </w:rPr>
      </w:pPr>
    </w:p>
    <w:p w:rsidR="00EB0EFC" w:rsidRDefault="00EB0EFC" w:rsidP="00EB0EFC">
      <w:pPr>
        <w:ind w:left="708"/>
        <w:rPr>
          <w:b/>
          <w:bCs/>
          <w:lang w:val="en-US"/>
        </w:rPr>
      </w:pPr>
    </w:p>
    <w:p w:rsidR="00EB0EFC" w:rsidRDefault="00EB0EFC" w:rsidP="00172D8E">
      <w:pPr>
        <w:rPr>
          <w:lang w:val="en-US"/>
        </w:rPr>
      </w:pPr>
    </w:p>
    <w:p w:rsidR="00EB0EFC" w:rsidRPr="002613CB" w:rsidRDefault="00EB0EFC" w:rsidP="00EB0EFC">
      <w:pPr>
        <w:rPr>
          <w:rFonts w:eastAsia="Calibri"/>
          <w:b/>
          <w:sz w:val="28"/>
          <w:szCs w:val="28"/>
          <w:lang w:val="en-US"/>
        </w:rPr>
      </w:pPr>
    </w:p>
    <w:sectPr w:rsidR="00EB0EFC" w:rsidRPr="002613CB" w:rsidSect="00EB0EFC">
      <w:footerReference w:type="default" r:id="rId13"/>
      <w:pgSz w:w="15840" w:h="12240"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0C3" w:rsidRDefault="00F930C3" w:rsidP="00013DCB">
      <w:r>
        <w:separator/>
      </w:r>
    </w:p>
  </w:endnote>
  <w:endnote w:type="continuationSeparator" w:id="0">
    <w:p w:rsidR="00F930C3" w:rsidRDefault="00F930C3" w:rsidP="0001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695171"/>
      <w:docPartObj>
        <w:docPartGallery w:val="Page Numbers (Bottom of Page)"/>
        <w:docPartUnique/>
      </w:docPartObj>
    </w:sdtPr>
    <w:sdtEndPr/>
    <w:sdtContent>
      <w:p w:rsidR="00013DCB" w:rsidRDefault="00013DCB">
        <w:pPr>
          <w:pStyle w:val="Footer"/>
          <w:jc w:val="right"/>
        </w:pPr>
        <w:r>
          <w:fldChar w:fldCharType="begin"/>
        </w:r>
        <w:r>
          <w:instrText>PAGE   \* MERGEFORMAT</w:instrText>
        </w:r>
        <w:r>
          <w:fldChar w:fldCharType="separate"/>
        </w:r>
        <w:r w:rsidR="00FE3377" w:rsidRPr="00FE3377">
          <w:rPr>
            <w:noProof/>
            <w:lang w:val="es-ES"/>
          </w:rPr>
          <w:t>3</w:t>
        </w:r>
        <w:r>
          <w:fldChar w:fldCharType="end"/>
        </w:r>
      </w:p>
    </w:sdtContent>
  </w:sdt>
  <w:p w:rsidR="00013DCB" w:rsidRDefault="00013D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0C3" w:rsidRDefault="00F930C3" w:rsidP="00013DCB">
      <w:r>
        <w:separator/>
      </w:r>
    </w:p>
  </w:footnote>
  <w:footnote w:type="continuationSeparator" w:id="0">
    <w:p w:rsidR="00F930C3" w:rsidRDefault="00F930C3" w:rsidP="00013D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710AD"/>
    <w:multiLevelType w:val="hybridMultilevel"/>
    <w:tmpl w:val="88D86CDC"/>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 w15:restartNumberingAfterBreak="0">
    <w:nsid w:val="0B197FAD"/>
    <w:multiLevelType w:val="hybridMultilevel"/>
    <w:tmpl w:val="C85E4CD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7BB7386"/>
    <w:multiLevelType w:val="hybridMultilevel"/>
    <w:tmpl w:val="6E66D044"/>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 w15:restartNumberingAfterBreak="0">
    <w:nsid w:val="284F0DC4"/>
    <w:multiLevelType w:val="hybridMultilevel"/>
    <w:tmpl w:val="85FE032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30DF0FF4"/>
    <w:multiLevelType w:val="hybridMultilevel"/>
    <w:tmpl w:val="E17C106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15:restartNumberingAfterBreak="0">
    <w:nsid w:val="60DF076B"/>
    <w:multiLevelType w:val="hybridMultilevel"/>
    <w:tmpl w:val="8752D9F6"/>
    <w:lvl w:ilvl="0" w:tplc="F03014CE">
      <w:start w:val="1"/>
      <w:numFmt w:val="decimal"/>
      <w:lvlText w:val="%1."/>
      <w:lvlJc w:val="left"/>
      <w:pPr>
        <w:ind w:left="720" w:hanging="360"/>
      </w:pPr>
      <w:rPr>
        <w:sz w:val="24"/>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 w15:restartNumberingAfterBreak="0">
    <w:nsid w:val="7917476B"/>
    <w:multiLevelType w:val="hybridMultilevel"/>
    <w:tmpl w:val="8C70386A"/>
    <w:lvl w:ilvl="0" w:tplc="F03014CE">
      <w:start w:val="1"/>
      <w:numFmt w:val="decimal"/>
      <w:lvlText w:val="%1."/>
      <w:lvlJc w:val="left"/>
      <w:pPr>
        <w:ind w:left="720" w:hanging="360"/>
      </w:pPr>
      <w:rPr>
        <w:sz w:val="24"/>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3CB"/>
    <w:rsid w:val="00013DCB"/>
    <w:rsid w:val="0007569E"/>
    <w:rsid w:val="000A5416"/>
    <w:rsid w:val="000D13EA"/>
    <w:rsid w:val="000F7A5B"/>
    <w:rsid w:val="00172380"/>
    <w:rsid w:val="00172D8E"/>
    <w:rsid w:val="001812A1"/>
    <w:rsid w:val="001C571E"/>
    <w:rsid w:val="00201F0D"/>
    <w:rsid w:val="002542D2"/>
    <w:rsid w:val="002613CB"/>
    <w:rsid w:val="00270749"/>
    <w:rsid w:val="002740A3"/>
    <w:rsid w:val="00285607"/>
    <w:rsid w:val="00294F48"/>
    <w:rsid w:val="002A3BAC"/>
    <w:rsid w:val="002B7166"/>
    <w:rsid w:val="002B76BD"/>
    <w:rsid w:val="002B7F3B"/>
    <w:rsid w:val="002C2C04"/>
    <w:rsid w:val="002E0996"/>
    <w:rsid w:val="00313591"/>
    <w:rsid w:val="003404AC"/>
    <w:rsid w:val="0034586E"/>
    <w:rsid w:val="003651F1"/>
    <w:rsid w:val="0039156A"/>
    <w:rsid w:val="003A2292"/>
    <w:rsid w:val="003B01D4"/>
    <w:rsid w:val="00427039"/>
    <w:rsid w:val="004757A1"/>
    <w:rsid w:val="00495DC7"/>
    <w:rsid w:val="004B029C"/>
    <w:rsid w:val="004C59A4"/>
    <w:rsid w:val="004F0FA3"/>
    <w:rsid w:val="0059000F"/>
    <w:rsid w:val="00636F73"/>
    <w:rsid w:val="006C3264"/>
    <w:rsid w:val="006C6B3E"/>
    <w:rsid w:val="006C6FA5"/>
    <w:rsid w:val="006E73EF"/>
    <w:rsid w:val="00726EB8"/>
    <w:rsid w:val="0077314C"/>
    <w:rsid w:val="00783F94"/>
    <w:rsid w:val="007B14E7"/>
    <w:rsid w:val="007D38C5"/>
    <w:rsid w:val="007E27E3"/>
    <w:rsid w:val="00803907"/>
    <w:rsid w:val="00855479"/>
    <w:rsid w:val="00856214"/>
    <w:rsid w:val="008805C8"/>
    <w:rsid w:val="008A3472"/>
    <w:rsid w:val="008B1519"/>
    <w:rsid w:val="008D53C2"/>
    <w:rsid w:val="008E39BD"/>
    <w:rsid w:val="00993EB3"/>
    <w:rsid w:val="009A111F"/>
    <w:rsid w:val="009A3822"/>
    <w:rsid w:val="009B5A8E"/>
    <w:rsid w:val="009D6C62"/>
    <w:rsid w:val="009E1D7D"/>
    <w:rsid w:val="00A7507F"/>
    <w:rsid w:val="00A76B24"/>
    <w:rsid w:val="00A83793"/>
    <w:rsid w:val="00AB648A"/>
    <w:rsid w:val="00AD42CF"/>
    <w:rsid w:val="00B12E81"/>
    <w:rsid w:val="00B62A16"/>
    <w:rsid w:val="00BA7057"/>
    <w:rsid w:val="00BA70AE"/>
    <w:rsid w:val="00BD117F"/>
    <w:rsid w:val="00BF364F"/>
    <w:rsid w:val="00C67C89"/>
    <w:rsid w:val="00C86C68"/>
    <w:rsid w:val="00DD431D"/>
    <w:rsid w:val="00E109D3"/>
    <w:rsid w:val="00E47622"/>
    <w:rsid w:val="00E53A12"/>
    <w:rsid w:val="00E81787"/>
    <w:rsid w:val="00EA196C"/>
    <w:rsid w:val="00EB0EFC"/>
    <w:rsid w:val="00ED732B"/>
    <w:rsid w:val="00F52802"/>
    <w:rsid w:val="00F930C3"/>
    <w:rsid w:val="00FB780A"/>
    <w:rsid w:val="00FC033A"/>
    <w:rsid w:val="00FE3319"/>
    <w:rsid w:val="00FE3377"/>
    <w:rsid w:val="00FE799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B557C6-E514-4948-B546-0D067639D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F73"/>
    <w:pPr>
      <w:spacing w:after="0" w:line="240" w:lineRule="auto"/>
    </w:pPr>
    <w:rPr>
      <w:rFonts w:ascii="Calibri" w:hAnsi="Calibri" w:cs="Times New Roman"/>
    </w:rPr>
  </w:style>
  <w:style w:type="paragraph" w:styleId="Heading9">
    <w:name w:val="heading 9"/>
    <w:basedOn w:val="Normal"/>
    <w:next w:val="Normal"/>
    <w:link w:val="Heading9Char"/>
    <w:uiPriority w:val="99"/>
    <w:qFormat/>
    <w:rsid w:val="003651F1"/>
    <w:pPr>
      <w:keepNext/>
      <w:outlineLvl w:val="8"/>
    </w:pPr>
    <w:rPr>
      <w:rFonts w:ascii="Arial" w:eastAsia="PMingLiU" w:hAnsi="Arial"/>
      <w:b/>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13CB"/>
    <w:rPr>
      <w:color w:val="0563C1"/>
      <w:u w:val="single"/>
    </w:rPr>
  </w:style>
  <w:style w:type="paragraph" w:styleId="NormalWeb">
    <w:name w:val="Normal (Web)"/>
    <w:basedOn w:val="Normal"/>
    <w:uiPriority w:val="99"/>
    <w:semiHidden/>
    <w:unhideWhenUsed/>
    <w:rsid w:val="00E109D3"/>
    <w:pPr>
      <w:spacing w:before="100" w:beforeAutospacing="1" w:after="100" w:afterAutospacing="1"/>
    </w:pPr>
    <w:rPr>
      <w:rFonts w:ascii="Times New Roman" w:eastAsia="Times New Roman" w:hAnsi="Times New Roman"/>
      <w:sz w:val="24"/>
      <w:szCs w:val="24"/>
      <w:lang w:eastAsia="es-MX"/>
    </w:rPr>
  </w:style>
  <w:style w:type="paragraph" w:styleId="HTMLPreformatted">
    <w:name w:val="HTML Preformatted"/>
    <w:basedOn w:val="Normal"/>
    <w:link w:val="HTMLPreformattedChar"/>
    <w:uiPriority w:val="99"/>
    <w:semiHidden/>
    <w:unhideWhenUsed/>
    <w:rsid w:val="00201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s-MX"/>
    </w:rPr>
  </w:style>
  <w:style w:type="character" w:customStyle="1" w:styleId="HTMLPreformattedChar">
    <w:name w:val="HTML Preformatted Char"/>
    <w:basedOn w:val="DefaultParagraphFont"/>
    <w:link w:val="HTMLPreformatted"/>
    <w:uiPriority w:val="99"/>
    <w:semiHidden/>
    <w:rsid w:val="00201F0D"/>
    <w:rPr>
      <w:rFonts w:ascii="Courier New" w:eastAsia="Times New Roman" w:hAnsi="Courier New" w:cs="Courier New"/>
      <w:sz w:val="20"/>
      <w:szCs w:val="20"/>
      <w:lang w:eastAsia="es-MX"/>
    </w:rPr>
  </w:style>
  <w:style w:type="character" w:customStyle="1" w:styleId="apple-converted-space">
    <w:name w:val="apple-converted-space"/>
    <w:basedOn w:val="DefaultParagraphFont"/>
    <w:rsid w:val="0059000F"/>
  </w:style>
  <w:style w:type="paragraph" w:styleId="Header">
    <w:name w:val="header"/>
    <w:basedOn w:val="Normal"/>
    <w:link w:val="HeaderChar"/>
    <w:uiPriority w:val="99"/>
    <w:unhideWhenUsed/>
    <w:rsid w:val="00013DCB"/>
    <w:pPr>
      <w:tabs>
        <w:tab w:val="center" w:pos="4419"/>
        <w:tab w:val="right" w:pos="8838"/>
      </w:tabs>
    </w:pPr>
  </w:style>
  <w:style w:type="character" w:customStyle="1" w:styleId="HeaderChar">
    <w:name w:val="Header Char"/>
    <w:basedOn w:val="DefaultParagraphFont"/>
    <w:link w:val="Header"/>
    <w:uiPriority w:val="99"/>
    <w:rsid w:val="00013DCB"/>
    <w:rPr>
      <w:rFonts w:ascii="Calibri" w:hAnsi="Calibri" w:cs="Times New Roman"/>
    </w:rPr>
  </w:style>
  <w:style w:type="paragraph" w:styleId="Footer">
    <w:name w:val="footer"/>
    <w:basedOn w:val="Normal"/>
    <w:link w:val="FooterChar"/>
    <w:uiPriority w:val="99"/>
    <w:unhideWhenUsed/>
    <w:rsid w:val="00013DCB"/>
    <w:pPr>
      <w:tabs>
        <w:tab w:val="center" w:pos="4419"/>
        <w:tab w:val="right" w:pos="8838"/>
      </w:tabs>
    </w:pPr>
  </w:style>
  <w:style w:type="character" w:customStyle="1" w:styleId="FooterChar">
    <w:name w:val="Footer Char"/>
    <w:basedOn w:val="DefaultParagraphFont"/>
    <w:link w:val="Footer"/>
    <w:uiPriority w:val="99"/>
    <w:rsid w:val="00013DCB"/>
    <w:rPr>
      <w:rFonts w:ascii="Calibri" w:hAnsi="Calibri" w:cs="Times New Roman"/>
    </w:rPr>
  </w:style>
  <w:style w:type="character" w:customStyle="1" w:styleId="Heading9Char">
    <w:name w:val="Heading 9 Char"/>
    <w:basedOn w:val="DefaultParagraphFont"/>
    <w:link w:val="Heading9"/>
    <w:uiPriority w:val="99"/>
    <w:rsid w:val="003651F1"/>
    <w:rPr>
      <w:rFonts w:ascii="Arial" w:eastAsia="PMingLiU" w:hAnsi="Arial" w:cs="Times New Roman"/>
      <w:b/>
      <w:i/>
      <w:sz w:val="20"/>
      <w:szCs w:val="20"/>
      <w:lang w:val="en-AU"/>
    </w:rPr>
  </w:style>
  <w:style w:type="paragraph" w:styleId="NoSpacing">
    <w:name w:val="No Spacing"/>
    <w:uiPriority w:val="99"/>
    <w:qFormat/>
    <w:rsid w:val="003651F1"/>
    <w:pPr>
      <w:spacing w:after="0" w:line="240" w:lineRule="auto"/>
    </w:pPr>
    <w:rPr>
      <w:rFonts w:ascii="Calibri" w:eastAsia="PMingLiU" w:hAnsi="Calibri" w:cs="Calibri"/>
    </w:rPr>
  </w:style>
  <w:style w:type="paragraph" w:styleId="ListParagraph">
    <w:name w:val="List Paragraph"/>
    <w:basedOn w:val="Normal"/>
    <w:uiPriority w:val="34"/>
    <w:qFormat/>
    <w:rsid w:val="009E1D7D"/>
    <w:pPr>
      <w:ind w:left="708"/>
    </w:pPr>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183026">
      <w:bodyDiv w:val="1"/>
      <w:marLeft w:val="0"/>
      <w:marRight w:val="0"/>
      <w:marTop w:val="0"/>
      <w:marBottom w:val="0"/>
      <w:divBdr>
        <w:top w:val="none" w:sz="0" w:space="0" w:color="auto"/>
        <w:left w:val="none" w:sz="0" w:space="0" w:color="auto"/>
        <w:bottom w:val="none" w:sz="0" w:space="0" w:color="auto"/>
        <w:right w:val="none" w:sz="0" w:space="0" w:color="auto"/>
      </w:divBdr>
    </w:div>
    <w:div w:id="702096216">
      <w:bodyDiv w:val="1"/>
      <w:marLeft w:val="0"/>
      <w:marRight w:val="0"/>
      <w:marTop w:val="0"/>
      <w:marBottom w:val="0"/>
      <w:divBdr>
        <w:top w:val="none" w:sz="0" w:space="0" w:color="auto"/>
        <w:left w:val="none" w:sz="0" w:space="0" w:color="auto"/>
        <w:bottom w:val="none" w:sz="0" w:space="0" w:color="auto"/>
        <w:right w:val="none" w:sz="0" w:space="0" w:color="auto"/>
      </w:divBdr>
    </w:div>
    <w:div w:id="797190772">
      <w:bodyDiv w:val="1"/>
      <w:marLeft w:val="0"/>
      <w:marRight w:val="0"/>
      <w:marTop w:val="0"/>
      <w:marBottom w:val="0"/>
      <w:divBdr>
        <w:top w:val="none" w:sz="0" w:space="0" w:color="auto"/>
        <w:left w:val="none" w:sz="0" w:space="0" w:color="auto"/>
        <w:bottom w:val="none" w:sz="0" w:space="0" w:color="auto"/>
        <w:right w:val="none" w:sz="0" w:space="0" w:color="auto"/>
      </w:divBdr>
    </w:div>
    <w:div w:id="887496364">
      <w:bodyDiv w:val="1"/>
      <w:marLeft w:val="0"/>
      <w:marRight w:val="0"/>
      <w:marTop w:val="0"/>
      <w:marBottom w:val="0"/>
      <w:divBdr>
        <w:top w:val="none" w:sz="0" w:space="0" w:color="auto"/>
        <w:left w:val="none" w:sz="0" w:space="0" w:color="auto"/>
        <w:bottom w:val="none" w:sz="0" w:space="0" w:color="auto"/>
        <w:right w:val="none" w:sz="0" w:space="0" w:color="auto"/>
      </w:divBdr>
    </w:div>
    <w:div w:id="920336543">
      <w:bodyDiv w:val="1"/>
      <w:marLeft w:val="0"/>
      <w:marRight w:val="0"/>
      <w:marTop w:val="0"/>
      <w:marBottom w:val="0"/>
      <w:divBdr>
        <w:top w:val="none" w:sz="0" w:space="0" w:color="auto"/>
        <w:left w:val="none" w:sz="0" w:space="0" w:color="auto"/>
        <w:bottom w:val="none" w:sz="0" w:space="0" w:color="auto"/>
        <w:right w:val="none" w:sz="0" w:space="0" w:color="auto"/>
      </w:divBdr>
    </w:div>
    <w:div w:id="1027490247">
      <w:bodyDiv w:val="1"/>
      <w:marLeft w:val="0"/>
      <w:marRight w:val="0"/>
      <w:marTop w:val="0"/>
      <w:marBottom w:val="0"/>
      <w:divBdr>
        <w:top w:val="none" w:sz="0" w:space="0" w:color="auto"/>
        <w:left w:val="none" w:sz="0" w:space="0" w:color="auto"/>
        <w:bottom w:val="none" w:sz="0" w:space="0" w:color="auto"/>
        <w:right w:val="none" w:sz="0" w:space="0" w:color="auto"/>
      </w:divBdr>
    </w:div>
    <w:div w:id="1093739448">
      <w:bodyDiv w:val="1"/>
      <w:marLeft w:val="0"/>
      <w:marRight w:val="0"/>
      <w:marTop w:val="0"/>
      <w:marBottom w:val="0"/>
      <w:divBdr>
        <w:top w:val="none" w:sz="0" w:space="0" w:color="auto"/>
        <w:left w:val="none" w:sz="0" w:space="0" w:color="auto"/>
        <w:bottom w:val="none" w:sz="0" w:space="0" w:color="auto"/>
        <w:right w:val="none" w:sz="0" w:space="0" w:color="auto"/>
      </w:divBdr>
    </w:div>
    <w:div w:id="1106387564">
      <w:bodyDiv w:val="1"/>
      <w:marLeft w:val="0"/>
      <w:marRight w:val="0"/>
      <w:marTop w:val="0"/>
      <w:marBottom w:val="0"/>
      <w:divBdr>
        <w:top w:val="none" w:sz="0" w:space="0" w:color="auto"/>
        <w:left w:val="none" w:sz="0" w:space="0" w:color="auto"/>
        <w:bottom w:val="none" w:sz="0" w:space="0" w:color="auto"/>
        <w:right w:val="none" w:sz="0" w:space="0" w:color="auto"/>
      </w:divBdr>
    </w:div>
    <w:div w:id="1176191493">
      <w:bodyDiv w:val="1"/>
      <w:marLeft w:val="0"/>
      <w:marRight w:val="0"/>
      <w:marTop w:val="0"/>
      <w:marBottom w:val="0"/>
      <w:divBdr>
        <w:top w:val="none" w:sz="0" w:space="0" w:color="auto"/>
        <w:left w:val="none" w:sz="0" w:space="0" w:color="auto"/>
        <w:bottom w:val="none" w:sz="0" w:space="0" w:color="auto"/>
        <w:right w:val="none" w:sz="0" w:space="0" w:color="auto"/>
      </w:divBdr>
    </w:div>
    <w:div w:id="1431703535">
      <w:bodyDiv w:val="1"/>
      <w:marLeft w:val="0"/>
      <w:marRight w:val="0"/>
      <w:marTop w:val="0"/>
      <w:marBottom w:val="0"/>
      <w:divBdr>
        <w:top w:val="none" w:sz="0" w:space="0" w:color="auto"/>
        <w:left w:val="none" w:sz="0" w:space="0" w:color="auto"/>
        <w:bottom w:val="none" w:sz="0" w:space="0" w:color="auto"/>
        <w:right w:val="none" w:sz="0" w:space="0" w:color="auto"/>
      </w:divBdr>
    </w:div>
    <w:div w:id="162688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formas.gob.mx/en/energy-reform/what-i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eformas.gob.mx/reforma-energetica" TargetMode="External"/><Relationship Id="rId12" Type="http://schemas.openxmlformats.org/officeDocument/2006/relationships/hyperlink" Target="mailto:jfloresd@energia.gob.m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estrada@cre.gob.m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fernando.mayer@economia.gob.mx" TargetMode="External"/><Relationship Id="rId4" Type="http://schemas.openxmlformats.org/officeDocument/2006/relationships/webSettings" Target="webSettings.xml"/><Relationship Id="rId9" Type="http://schemas.openxmlformats.org/officeDocument/2006/relationships/hyperlink" Target="http://www.cre.gob.mx/"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5084</Words>
  <Characters>28984</Characters>
  <Application>Microsoft Office Word</Application>
  <DocSecurity>4</DocSecurity>
  <Lines>241</Lines>
  <Paragraphs>67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Beatriz Estrada Moreno</dc:creator>
  <cp:lastModifiedBy>Denise Cheok Jia Yuan</cp:lastModifiedBy>
  <cp:revision>2</cp:revision>
  <dcterms:created xsi:type="dcterms:W3CDTF">2016-02-10T01:01:00Z</dcterms:created>
  <dcterms:modified xsi:type="dcterms:W3CDTF">2016-02-10T01:01:00Z</dcterms:modified>
</cp:coreProperties>
</file>